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3389" w:rsidRPr="00A93428" w:rsidRDefault="00860AC4" w:rsidP="00443389">
      <w:pPr>
        <w:jc w:val="center"/>
        <w:rPr>
          <w:rFonts w:cs="Times New Roman"/>
          <w:b/>
          <w:sz w:val="28"/>
          <w:szCs w:val="28"/>
          <w:u w:val="single"/>
        </w:rPr>
      </w:pPr>
      <w:bookmarkStart w:id="0" w:name="_GoBack"/>
      <w:bookmarkEnd w:id="0"/>
      <w:r>
        <w:rPr>
          <w:rFonts w:cs="Times New Roman"/>
          <w:b/>
          <w:sz w:val="28"/>
          <w:szCs w:val="28"/>
          <w:u w:val="single"/>
        </w:rPr>
        <w:t>Check IN/Check OUT</w:t>
      </w:r>
    </w:p>
    <w:tbl>
      <w:tblPr>
        <w:tblStyle w:val="TableGrid"/>
        <w:tblW w:w="9710" w:type="dxa"/>
        <w:tblLayout w:type="fixed"/>
        <w:tblLook w:val="04A0" w:firstRow="1" w:lastRow="0" w:firstColumn="1" w:lastColumn="0" w:noHBand="0" w:noVBand="1"/>
      </w:tblPr>
      <w:tblGrid>
        <w:gridCol w:w="9710"/>
      </w:tblGrid>
      <w:tr w:rsidR="00443389" w:rsidRPr="00A93428" w:rsidTr="00E019FC">
        <w:trPr>
          <w:trHeight w:val="326"/>
        </w:trPr>
        <w:tc>
          <w:tcPr>
            <w:tcW w:w="9710" w:type="dxa"/>
            <w:shd w:val="clear" w:color="auto" w:fill="D9D9D9" w:themeFill="background1" w:themeFillShade="D9"/>
          </w:tcPr>
          <w:p w:rsidR="00BE7F50" w:rsidRPr="00A4251B" w:rsidRDefault="00443389" w:rsidP="00BE7F50">
            <w:pPr>
              <w:rPr>
                <w:rFonts w:cs="Times New Roman"/>
                <w:b/>
              </w:rPr>
            </w:pPr>
            <w:r w:rsidRPr="00A4251B">
              <w:rPr>
                <w:rFonts w:cs="Times New Roman"/>
                <w:b/>
              </w:rPr>
              <w:t>Reference Articles:</w:t>
            </w:r>
          </w:p>
        </w:tc>
      </w:tr>
      <w:tr w:rsidR="00BE7F50" w:rsidRPr="00A93428" w:rsidTr="00E019FC">
        <w:trPr>
          <w:trHeight w:val="1289"/>
        </w:trPr>
        <w:tc>
          <w:tcPr>
            <w:tcW w:w="9710" w:type="dxa"/>
          </w:tcPr>
          <w:p w:rsidR="00A4251B" w:rsidRPr="00A4251B" w:rsidRDefault="00A4251B" w:rsidP="00A4251B">
            <w:pPr>
              <w:rPr>
                <w:rFonts w:cs="Times New Roman"/>
                <w:i/>
              </w:rPr>
            </w:pPr>
            <w:r w:rsidRPr="00A4251B">
              <w:rPr>
                <w:rFonts w:cs="Times New Roman"/>
                <w:i/>
              </w:rPr>
              <w:t xml:space="preserve">Crone, D. A., Horner, R. H., &amp; </w:t>
            </w:r>
            <w:proofErr w:type="spellStart"/>
            <w:r w:rsidRPr="00A4251B">
              <w:rPr>
                <w:rFonts w:cs="Times New Roman"/>
                <w:i/>
              </w:rPr>
              <w:t>Hawken</w:t>
            </w:r>
            <w:proofErr w:type="spellEnd"/>
            <w:r w:rsidRPr="00A4251B">
              <w:rPr>
                <w:rFonts w:cs="Times New Roman"/>
                <w:i/>
              </w:rPr>
              <w:t xml:space="preserve">, L. S. (2004). Responding to problem behavior in </w:t>
            </w:r>
            <w:proofErr w:type="gramStart"/>
            <w:r w:rsidRPr="00A4251B">
              <w:rPr>
                <w:rFonts w:cs="Times New Roman"/>
                <w:i/>
              </w:rPr>
              <w:t>schools :</w:t>
            </w:r>
            <w:proofErr w:type="gramEnd"/>
            <w:r w:rsidRPr="00A4251B">
              <w:rPr>
                <w:rFonts w:cs="Times New Roman"/>
                <w:i/>
              </w:rPr>
              <w:t xml:space="preserve"> the behavior education program / Deanne A. Crone, Robert H. Horner, Leanne S. </w:t>
            </w:r>
            <w:proofErr w:type="spellStart"/>
            <w:r w:rsidRPr="00A4251B">
              <w:rPr>
                <w:rFonts w:cs="Times New Roman"/>
                <w:i/>
              </w:rPr>
              <w:t>Hawken</w:t>
            </w:r>
            <w:proofErr w:type="spellEnd"/>
            <w:r w:rsidRPr="00A4251B">
              <w:rPr>
                <w:rFonts w:cs="Times New Roman"/>
                <w:i/>
              </w:rPr>
              <w:t xml:space="preserve">. New </w:t>
            </w:r>
            <w:proofErr w:type="gramStart"/>
            <w:r w:rsidRPr="00A4251B">
              <w:rPr>
                <w:rFonts w:cs="Times New Roman"/>
                <w:i/>
              </w:rPr>
              <w:t>York :</w:t>
            </w:r>
            <w:proofErr w:type="gramEnd"/>
            <w:r w:rsidRPr="00A4251B">
              <w:rPr>
                <w:rFonts w:cs="Times New Roman"/>
                <w:i/>
              </w:rPr>
              <w:t xml:space="preserve"> Guilford Press, c2004. </w:t>
            </w:r>
          </w:p>
          <w:p w:rsidR="00A4251B" w:rsidRPr="00A4251B" w:rsidRDefault="00A4251B" w:rsidP="00A4251B">
            <w:pPr>
              <w:rPr>
                <w:rFonts w:cs="Times New Roman"/>
                <w:i/>
              </w:rPr>
            </w:pPr>
          </w:p>
          <w:p w:rsidR="00A4251B" w:rsidRPr="00A4251B" w:rsidRDefault="00A4251B" w:rsidP="00A4251B">
            <w:pPr>
              <w:rPr>
                <w:rFonts w:cs="Times New Roman"/>
              </w:rPr>
            </w:pPr>
            <w:proofErr w:type="spellStart"/>
            <w:r w:rsidRPr="00A4251B">
              <w:rPr>
                <w:rFonts w:cs="Times New Roman"/>
              </w:rPr>
              <w:t>Boden</w:t>
            </w:r>
            <w:proofErr w:type="spellEnd"/>
            <w:r w:rsidRPr="00A4251B">
              <w:rPr>
                <w:rFonts w:cs="Times New Roman"/>
              </w:rPr>
              <w:t xml:space="preserve">, L. J., Ennis, R. P., &amp; </w:t>
            </w:r>
            <w:proofErr w:type="spellStart"/>
            <w:r w:rsidRPr="00A4251B">
              <w:rPr>
                <w:rFonts w:cs="Times New Roman"/>
              </w:rPr>
              <w:t>Jolivette</w:t>
            </w:r>
            <w:proofErr w:type="spellEnd"/>
            <w:r w:rsidRPr="00A4251B">
              <w:rPr>
                <w:rFonts w:cs="Times New Roman"/>
              </w:rPr>
              <w:t xml:space="preserve">, K. (2012). Implementing Check in/Check out for Students With Intellectual Disability in Self-Contained Classrooms. </w:t>
            </w:r>
            <w:r w:rsidRPr="00A4251B">
              <w:rPr>
                <w:rFonts w:cs="Times New Roman"/>
                <w:i/>
              </w:rPr>
              <w:t>Teaching Exceptional Children</w:t>
            </w:r>
            <w:r w:rsidRPr="00A4251B">
              <w:rPr>
                <w:rFonts w:cs="Times New Roman"/>
              </w:rPr>
              <w:t xml:space="preserve">, 45(1), 32-39. </w:t>
            </w:r>
          </w:p>
          <w:p w:rsidR="005163D3" w:rsidRPr="00A4251B" w:rsidRDefault="00A4251B" w:rsidP="00A4251B">
            <w:pPr>
              <w:rPr>
                <w:rFonts w:cs="Times New Roman"/>
                <w:i/>
              </w:rPr>
            </w:pPr>
            <w:r w:rsidRPr="00A4251B">
              <w:rPr>
                <w:rFonts w:cs="Times New Roman"/>
                <w:i/>
              </w:rPr>
              <w:t xml:space="preserve"> </w:t>
            </w:r>
          </w:p>
        </w:tc>
      </w:tr>
      <w:tr w:rsidR="00A93428" w:rsidRPr="00A93428" w:rsidTr="00E019FC">
        <w:trPr>
          <w:trHeight w:val="323"/>
        </w:trPr>
        <w:tc>
          <w:tcPr>
            <w:tcW w:w="9710" w:type="dxa"/>
            <w:shd w:val="clear" w:color="auto" w:fill="D9D9D9" w:themeFill="background1" w:themeFillShade="D9"/>
          </w:tcPr>
          <w:p w:rsidR="00BE7F50" w:rsidRPr="00BE7F50" w:rsidRDefault="00A93428" w:rsidP="00BE7F50">
            <w:pPr>
              <w:rPr>
                <w:rFonts w:cs="Times New Roman"/>
              </w:rPr>
            </w:pPr>
            <w:r w:rsidRPr="00BE7F50">
              <w:rPr>
                <w:rFonts w:cs="Times New Roman"/>
                <w:b/>
              </w:rPr>
              <w:t>Used for function of behavior: (escape, attention, tangible, sensory):</w:t>
            </w:r>
          </w:p>
        </w:tc>
      </w:tr>
      <w:tr w:rsidR="00BE7F50" w:rsidRPr="00A93428" w:rsidTr="00E019FC">
        <w:trPr>
          <w:trHeight w:val="469"/>
        </w:trPr>
        <w:tc>
          <w:tcPr>
            <w:tcW w:w="9710" w:type="dxa"/>
          </w:tcPr>
          <w:p w:rsidR="00BE7F50" w:rsidRPr="00BE7F50" w:rsidRDefault="00FD0951" w:rsidP="00BE7F50">
            <w:pPr>
              <w:rPr>
                <w:rFonts w:cs="Times New Roman"/>
              </w:rPr>
            </w:pPr>
            <w:r>
              <w:rPr>
                <w:rFonts w:cs="Times New Roman"/>
              </w:rPr>
              <w:t>Attention</w:t>
            </w:r>
          </w:p>
        </w:tc>
      </w:tr>
      <w:tr w:rsidR="00D9209C" w:rsidRPr="00A93428" w:rsidTr="00D9209C">
        <w:trPr>
          <w:trHeight w:val="305"/>
        </w:trPr>
        <w:tc>
          <w:tcPr>
            <w:tcW w:w="9710" w:type="dxa"/>
            <w:shd w:val="clear" w:color="auto" w:fill="D9D9D9" w:themeFill="background1" w:themeFillShade="D9"/>
          </w:tcPr>
          <w:p w:rsidR="00D9209C" w:rsidRPr="00A94CF8" w:rsidRDefault="00D9209C" w:rsidP="003F0A88">
            <w:pPr>
              <w:rPr>
                <w:rFonts w:cs="Times New Roman"/>
                <w:b/>
              </w:rPr>
            </w:pPr>
            <w:r w:rsidRPr="00A94CF8">
              <w:rPr>
                <w:rFonts w:cs="Times New Roman"/>
                <w:b/>
              </w:rPr>
              <w:t>Description of Intervention:</w:t>
            </w:r>
          </w:p>
        </w:tc>
      </w:tr>
      <w:tr w:rsidR="00D9209C" w:rsidRPr="00A93428" w:rsidTr="00E019FC">
        <w:trPr>
          <w:trHeight w:val="469"/>
        </w:trPr>
        <w:tc>
          <w:tcPr>
            <w:tcW w:w="9710" w:type="dxa"/>
          </w:tcPr>
          <w:p w:rsidR="00D9209C" w:rsidRDefault="00D9209C" w:rsidP="00D9209C">
            <w:pPr>
              <w:rPr>
                <w:rFonts w:cs="Times New Roman"/>
              </w:rPr>
            </w:pPr>
            <w:r>
              <w:rPr>
                <w:rFonts w:cs="Times New Roman"/>
              </w:rPr>
              <w:t xml:space="preserve">CICO is a secondary tier intervention designed for implementation within the framework of SWPBIS with students who are not responding to primary interventions. The CICO process monitors progress toward school wide or individual behavioral goals via daily progress report (DPR) cards and uses school based contingencies to reinforce positive behavior. </w:t>
            </w:r>
          </w:p>
          <w:p w:rsidR="00D9209C" w:rsidRPr="00A94CF8" w:rsidRDefault="00D9209C" w:rsidP="003F0A88">
            <w:pPr>
              <w:rPr>
                <w:rFonts w:cs="Times New Roman"/>
                <w:b/>
              </w:rPr>
            </w:pPr>
          </w:p>
        </w:tc>
      </w:tr>
      <w:tr w:rsidR="00D9209C" w:rsidRPr="00A93428" w:rsidTr="00E019FC">
        <w:trPr>
          <w:trHeight w:val="234"/>
        </w:trPr>
        <w:tc>
          <w:tcPr>
            <w:tcW w:w="9710" w:type="dxa"/>
            <w:shd w:val="clear" w:color="auto" w:fill="D9D9D9" w:themeFill="background1" w:themeFillShade="D9"/>
          </w:tcPr>
          <w:p w:rsidR="00D9209C" w:rsidRPr="00BE7F50" w:rsidRDefault="00D9209C" w:rsidP="00BE7F50">
            <w:pPr>
              <w:rPr>
                <w:rFonts w:cs="Times New Roman"/>
              </w:rPr>
            </w:pPr>
            <w:r w:rsidRPr="00BE7F50">
              <w:rPr>
                <w:rFonts w:cs="Times New Roman"/>
                <w:b/>
              </w:rPr>
              <w:t>Steps of intervention:</w:t>
            </w:r>
          </w:p>
        </w:tc>
      </w:tr>
      <w:tr w:rsidR="00D9209C" w:rsidRPr="00A93428" w:rsidTr="00E019FC">
        <w:trPr>
          <w:trHeight w:val="1278"/>
        </w:trPr>
        <w:tc>
          <w:tcPr>
            <w:tcW w:w="9710" w:type="dxa"/>
          </w:tcPr>
          <w:p w:rsidR="00D9209C" w:rsidRPr="00FD0951" w:rsidRDefault="00D9209C" w:rsidP="00454422">
            <w:pPr>
              <w:pStyle w:val="ListParagraph"/>
              <w:numPr>
                <w:ilvl w:val="0"/>
                <w:numId w:val="1"/>
              </w:numPr>
              <w:rPr>
                <w:rFonts w:cs="Times New Roman"/>
              </w:rPr>
            </w:pPr>
            <w:r w:rsidRPr="00FD0951">
              <w:rPr>
                <w:rFonts w:cs="Times New Roman"/>
              </w:rPr>
              <w:t>Baseline data will be gathered by having the teacher rate the student’s behavi</w:t>
            </w:r>
            <w:r>
              <w:rPr>
                <w:rFonts w:cs="Times New Roman"/>
              </w:rPr>
              <w:t xml:space="preserve">or on the Daily Progress Report.  </w:t>
            </w:r>
            <w:r w:rsidRPr="00FD0951">
              <w:rPr>
                <w:rFonts w:cs="Times New Roman"/>
              </w:rPr>
              <w:t xml:space="preserve">Baseline data will be collected for 3-5 days. Students do not Check In/Check Out during this period. Baseline data can be used to determine the daily point goals for the students. </w:t>
            </w:r>
          </w:p>
          <w:p w:rsidR="00D9209C" w:rsidRPr="00FD0951" w:rsidRDefault="00D9209C" w:rsidP="00FD0951">
            <w:pPr>
              <w:pStyle w:val="ListParagraph"/>
              <w:numPr>
                <w:ilvl w:val="0"/>
                <w:numId w:val="1"/>
              </w:numPr>
            </w:pPr>
            <w:r w:rsidRPr="00FD0951">
              <w:rPr>
                <w:rFonts w:cs="Times New Roman"/>
              </w:rPr>
              <w:t>Daily Procedures:</w:t>
            </w:r>
          </w:p>
          <w:p w:rsidR="00D9209C" w:rsidRDefault="00D9209C" w:rsidP="00FD0951">
            <w:pPr>
              <w:pStyle w:val="ListParagraph"/>
              <w:numPr>
                <w:ilvl w:val="1"/>
                <w:numId w:val="1"/>
              </w:numPr>
            </w:pPr>
            <w:r>
              <w:t>The teacher sends the student to see CICO staff early in the morning. At CICO, the student returns any signed forms to CICO staff, who will keep them on file.  On a new behavior form, the CICO will mark any points earned for bringing back recent CICO forms signed by parents or guardians. Time permitting, training and coaching should happen with CICO staff. This is especially true at the beginning – the CICO staff will need to help the student understand what each of the behaviors on the form “looks like.”  The CICO staff will also need to explain the CICO daily procedures to the student so he/she knows what to expect and what his/her responsibilities are.</w:t>
            </w:r>
          </w:p>
          <w:p w:rsidR="00D9209C" w:rsidRPr="00FD0951" w:rsidRDefault="00D9209C" w:rsidP="00FD0951">
            <w:pPr>
              <w:pStyle w:val="ListParagraph"/>
              <w:numPr>
                <w:ilvl w:val="1"/>
                <w:numId w:val="1"/>
              </w:numPr>
            </w:pPr>
            <w:r>
              <w:t xml:space="preserve">The CICO staff gives the new behavior form to the student and chooses one of </w:t>
            </w:r>
            <w:r w:rsidRPr="00FD0951">
              <w:t>two in-class scenarios</w:t>
            </w:r>
            <w:r w:rsidRPr="00FD0951">
              <w:rPr>
                <w:b/>
              </w:rPr>
              <w:t xml:space="preserve"> </w:t>
            </w:r>
            <w:r w:rsidRPr="006864DF">
              <w:t>(</w:t>
            </w:r>
            <w:r>
              <w:t>teacher chooses which works best for him/her</w:t>
            </w:r>
            <w:r w:rsidRPr="006864DF">
              <w:t>)</w:t>
            </w:r>
          </w:p>
          <w:p w:rsidR="00D9209C" w:rsidRDefault="00D9209C" w:rsidP="00FD0951">
            <w:pPr>
              <w:pStyle w:val="ListParagraph"/>
              <w:numPr>
                <w:ilvl w:val="3"/>
                <w:numId w:val="2"/>
              </w:numPr>
            </w:pPr>
            <w:r>
              <w:t>The student is responsible for returning to class and bringing the behavior sheet to his/her teacher.  The teacher can arrange if the student is to hand it to him/her directly or to place it on the teacher’s desk (or elsewhere).  The teacher will mark the student’s behavior each period according to the instructions on the behavior form.  The teacher should check in with the student at least twice in the day to let him/her know how he/she’s doing.</w:t>
            </w:r>
          </w:p>
          <w:p w:rsidR="00D9209C" w:rsidRDefault="00D9209C" w:rsidP="00FD0951">
            <w:pPr>
              <w:pStyle w:val="ListParagraph"/>
              <w:numPr>
                <w:ilvl w:val="3"/>
                <w:numId w:val="2"/>
              </w:numPr>
            </w:pPr>
            <w:r>
              <w:lastRenderedPageBreak/>
              <w:t>The student holds on to his/her behavior sheet and is responsible for reminding the teacher to rate his/her behavior at the end of each instructional period. The teacher will mark the student’s behavior each period according to the instructions on the behavior form and provide feedback to the student as necessary.</w:t>
            </w:r>
          </w:p>
          <w:p w:rsidR="00D9209C" w:rsidRDefault="00D9209C" w:rsidP="00FD0951">
            <w:pPr>
              <w:pStyle w:val="ListParagraph"/>
              <w:numPr>
                <w:ilvl w:val="1"/>
                <w:numId w:val="1"/>
              </w:numPr>
            </w:pPr>
            <w:r>
              <w:t>When the form is completed for the day, the teacher should initial it.  The student will return to the CICO staff with a behavior form with the teacher’s initials. Though a teacher can help with reminders, it is ultimately the student’s responsibility to remember to check out and to bring the behavior form with him/her.</w:t>
            </w:r>
          </w:p>
          <w:p w:rsidR="00D9209C" w:rsidRDefault="00D9209C" w:rsidP="00FD0951">
            <w:pPr>
              <w:pStyle w:val="ListParagraph"/>
              <w:numPr>
                <w:ilvl w:val="1"/>
                <w:numId w:val="1"/>
              </w:numPr>
            </w:pPr>
            <w:r>
              <w:t>The CICO staff will calculate (or help the student to calculate) the total points earned and the percentage of possible points earned.  If the student reaches the daily goal of 80%, the CICO staff awards a reward buck.  CICO staff can also use this time to coach the student for future success.  When the form is complete, initial it and ask the student to initial it.</w:t>
            </w:r>
          </w:p>
          <w:p w:rsidR="00D9209C" w:rsidRPr="00AC770B" w:rsidRDefault="00D9209C" w:rsidP="00AC770B">
            <w:pPr>
              <w:pStyle w:val="ListParagraph"/>
              <w:numPr>
                <w:ilvl w:val="1"/>
                <w:numId w:val="1"/>
              </w:numPr>
            </w:pPr>
            <w:r>
              <w:t>The CICO staff records the date and the student’s total points earned (or the percentage of possible points earned). The student returns to class with the completed form and takes it home for a parent signature</w:t>
            </w:r>
          </w:p>
        </w:tc>
      </w:tr>
      <w:tr w:rsidR="00D9209C" w:rsidRPr="00A93428" w:rsidTr="00E019FC">
        <w:trPr>
          <w:trHeight w:val="597"/>
        </w:trPr>
        <w:tc>
          <w:tcPr>
            <w:tcW w:w="9710" w:type="dxa"/>
            <w:shd w:val="clear" w:color="auto" w:fill="D9D9D9" w:themeFill="background1" w:themeFillShade="D9"/>
          </w:tcPr>
          <w:p w:rsidR="00D9209C" w:rsidRPr="00BE7F50" w:rsidRDefault="00D9209C" w:rsidP="00BE7F50">
            <w:pPr>
              <w:rPr>
                <w:rFonts w:cs="Times New Roman"/>
              </w:rPr>
            </w:pPr>
            <w:r w:rsidRPr="00BE7F50">
              <w:rPr>
                <w:rFonts w:cs="Times New Roman"/>
                <w:b/>
              </w:rPr>
              <w:lastRenderedPageBreak/>
              <w:t xml:space="preserve">Examples: (if intervention looks different for Elementary vs. Middle/High or EBD </w:t>
            </w:r>
            <w:proofErr w:type="spellStart"/>
            <w:r w:rsidRPr="00BE7F50">
              <w:rPr>
                <w:rFonts w:cs="Times New Roman"/>
                <w:b/>
              </w:rPr>
              <w:t>vs</w:t>
            </w:r>
            <w:proofErr w:type="spellEnd"/>
            <w:r w:rsidRPr="00BE7F50">
              <w:rPr>
                <w:rFonts w:cs="Times New Roman"/>
                <w:b/>
              </w:rPr>
              <w:t xml:space="preserve"> ASD, please indicate)</w:t>
            </w:r>
            <w:r>
              <w:rPr>
                <w:rFonts w:cs="Times New Roman"/>
                <w:b/>
              </w:rPr>
              <w:t>:</w:t>
            </w:r>
          </w:p>
        </w:tc>
      </w:tr>
      <w:tr w:rsidR="00D9209C" w:rsidRPr="00A93428" w:rsidTr="00E019FC">
        <w:trPr>
          <w:trHeight w:val="1122"/>
        </w:trPr>
        <w:tc>
          <w:tcPr>
            <w:tcW w:w="9710" w:type="dxa"/>
          </w:tcPr>
          <w:p w:rsidR="00D9209C" w:rsidRDefault="00D9209C" w:rsidP="00BE7F50">
            <w:pPr>
              <w:rPr>
                <w:rFonts w:cs="Times New Roman"/>
              </w:rPr>
            </w:pPr>
            <w:r w:rsidRPr="00E019FC">
              <w:rPr>
                <w:rFonts w:cs="Times New Roman"/>
                <w:u w:val="single"/>
              </w:rPr>
              <w:t>Students with Intellectual Disability</w:t>
            </w:r>
            <w:r>
              <w:rPr>
                <w:rFonts w:cs="Times New Roman"/>
              </w:rPr>
              <w:t xml:space="preserve"> –Student’s Daily Progress Report contains picture prompts depicting individual behavioral goals. Picture prompts allow nonreaders to access their Daily Progress Report and serve as a visual reminder throughout class of how to behave. Also keeping track of the student’s points/progress using a visual chart on the class white board. Example: Once the class reaches 50 points, they can earn a class trip to the Media Center. </w:t>
            </w:r>
          </w:p>
          <w:p w:rsidR="00D9209C" w:rsidRPr="00BE7F50" w:rsidRDefault="00D9209C" w:rsidP="00BE7F50">
            <w:pPr>
              <w:rPr>
                <w:rFonts w:cs="Times New Roman"/>
              </w:rPr>
            </w:pPr>
            <w:r w:rsidRPr="00E019FC">
              <w:rPr>
                <w:rFonts w:cs="Times New Roman"/>
                <w:u w:val="single"/>
              </w:rPr>
              <w:t>Middle School</w:t>
            </w:r>
            <w:r>
              <w:rPr>
                <w:rFonts w:cs="Times New Roman"/>
              </w:rPr>
              <w:t xml:space="preserve">: Self-Management Phase-A special point sheet that has a column for the student to rate themselves and a column for teachers to indicate agreement or disagreement with the students’ rating. Once students demonstrated that they could rate their behavior accurately, student rated themselves on the regular point sheet. In addition, the CICO process was modified. Eventually, self managers graduated from the BEP and no longer need to CICO. </w:t>
            </w:r>
          </w:p>
        </w:tc>
      </w:tr>
      <w:tr w:rsidR="00D9209C" w:rsidRPr="00A93428" w:rsidTr="00E019FC">
        <w:trPr>
          <w:trHeight w:val="329"/>
        </w:trPr>
        <w:tc>
          <w:tcPr>
            <w:tcW w:w="9710" w:type="dxa"/>
            <w:shd w:val="clear" w:color="auto" w:fill="D9D9D9" w:themeFill="background1" w:themeFillShade="D9"/>
          </w:tcPr>
          <w:p w:rsidR="00D9209C" w:rsidRPr="00BE7F50" w:rsidRDefault="00D9209C" w:rsidP="00BE7F50">
            <w:pPr>
              <w:rPr>
                <w:rFonts w:cs="Times New Roman"/>
              </w:rPr>
            </w:pPr>
            <w:r w:rsidRPr="00BE7F50">
              <w:rPr>
                <w:rFonts w:cs="Times New Roman"/>
                <w:b/>
              </w:rPr>
              <w:t>Data Collection Method: (how would you take data on this intervention?)</w:t>
            </w:r>
          </w:p>
        </w:tc>
      </w:tr>
      <w:tr w:rsidR="00D9209C" w:rsidRPr="00A93428" w:rsidTr="00E019FC">
        <w:trPr>
          <w:trHeight w:val="1390"/>
        </w:trPr>
        <w:tc>
          <w:tcPr>
            <w:tcW w:w="9710" w:type="dxa"/>
          </w:tcPr>
          <w:tbl>
            <w:tblPr>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5"/>
              <w:gridCol w:w="1427"/>
              <w:gridCol w:w="1335"/>
              <w:gridCol w:w="1108"/>
              <w:gridCol w:w="1317"/>
              <w:gridCol w:w="1563"/>
              <w:gridCol w:w="1412"/>
            </w:tblGrid>
            <w:tr w:rsidR="00D9209C" w:rsidRPr="00E019FC" w:rsidTr="00E019FC">
              <w:tc>
                <w:tcPr>
                  <w:tcW w:w="1435" w:type="dxa"/>
                  <w:shd w:val="clear" w:color="auto" w:fill="D9D9D9"/>
                </w:tcPr>
                <w:p w:rsidR="00D9209C" w:rsidRPr="00E019FC" w:rsidRDefault="00D9209C" w:rsidP="001D1827">
                  <w:pPr>
                    <w:jc w:val="center"/>
                    <w:rPr>
                      <w:b/>
                      <w:sz w:val="24"/>
                      <w:szCs w:val="24"/>
                    </w:rPr>
                  </w:pPr>
                  <w:r w:rsidRPr="00E019FC">
                    <w:rPr>
                      <w:b/>
                      <w:sz w:val="24"/>
                      <w:szCs w:val="24"/>
                    </w:rPr>
                    <w:t xml:space="preserve">Target </w:t>
                  </w:r>
                  <w:proofErr w:type="spellStart"/>
                  <w:r w:rsidRPr="00E019FC">
                    <w:rPr>
                      <w:b/>
                      <w:sz w:val="24"/>
                      <w:szCs w:val="24"/>
                    </w:rPr>
                    <w:t>Bx</w:t>
                  </w:r>
                  <w:proofErr w:type="spellEnd"/>
                </w:p>
              </w:tc>
              <w:tc>
                <w:tcPr>
                  <w:tcW w:w="1427" w:type="dxa"/>
                  <w:shd w:val="clear" w:color="auto" w:fill="D9D9D9"/>
                </w:tcPr>
                <w:p w:rsidR="00D9209C" w:rsidRPr="00E019FC" w:rsidRDefault="00D9209C" w:rsidP="001D1827">
                  <w:pPr>
                    <w:jc w:val="center"/>
                    <w:rPr>
                      <w:b/>
                      <w:sz w:val="24"/>
                      <w:szCs w:val="24"/>
                    </w:rPr>
                  </w:pPr>
                  <w:r w:rsidRPr="00E019FC">
                    <w:rPr>
                      <w:b/>
                      <w:sz w:val="24"/>
                      <w:szCs w:val="24"/>
                    </w:rPr>
                    <w:t>MATH</w:t>
                  </w:r>
                </w:p>
              </w:tc>
              <w:tc>
                <w:tcPr>
                  <w:tcW w:w="1335" w:type="dxa"/>
                  <w:shd w:val="clear" w:color="auto" w:fill="D9D9D9"/>
                </w:tcPr>
                <w:p w:rsidR="00D9209C" w:rsidRPr="00E019FC" w:rsidRDefault="00D9209C" w:rsidP="001D1827">
                  <w:pPr>
                    <w:jc w:val="center"/>
                    <w:rPr>
                      <w:b/>
                      <w:sz w:val="24"/>
                      <w:szCs w:val="24"/>
                    </w:rPr>
                  </w:pPr>
                  <w:r w:rsidRPr="00E019FC">
                    <w:rPr>
                      <w:b/>
                      <w:sz w:val="24"/>
                      <w:szCs w:val="24"/>
                    </w:rPr>
                    <w:t>SOCIAL</w:t>
                  </w:r>
                </w:p>
                <w:p w:rsidR="00D9209C" w:rsidRPr="00E019FC" w:rsidRDefault="00D9209C" w:rsidP="001D1827">
                  <w:pPr>
                    <w:jc w:val="center"/>
                    <w:rPr>
                      <w:b/>
                      <w:sz w:val="24"/>
                      <w:szCs w:val="24"/>
                    </w:rPr>
                  </w:pPr>
                  <w:r w:rsidRPr="00E019FC">
                    <w:rPr>
                      <w:b/>
                      <w:sz w:val="24"/>
                      <w:szCs w:val="24"/>
                    </w:rPr>
                    <w:t>STUDIES</w:t>
                  </w:r>
                </w:p>
              </w:tc>
              <w:tc>
                <w:tcPr>
                  <w:tcW w:w="1108" w:type="dxa"/>
                  <w:shd w:val="clear" w:color="auto" w:fill="D9D9D9"/>
                </w:tcPr>
                <w:p w:rsidR="00D9209C" w:rsidRPr="00E019FC" w:rsidRDefault="00D9209C" w:rsidP="001D1827">
                  <w:pPr>
                    <w:spacing w:line="240" w:lineRule="atLeast"/>
                    <w:jc w:val="center"/>
                    <w:rPr>
                      <w:b/>
                      <w:sz w:val="24"/>
                      <w:szCs w:val="24"/>
                    </w:rPr>
                  </w:pPr>
                  <w:r w:rsidRPr="00E019FC">
                    <w:rPr>
                      <w:b/>
                      <w:sz w:val="24"/>
                      <w:szCs w:val="24"/>
                    </w:rPr>
                    <w:t>SPECIALS</w:t>
                  </w:r>
                </w:p>
              </w:tc>
              <w:tc>
                <w:tcPr>
                  <w:tcW w:w="1317" w:type="dxa"/>
                  <w:shd w:val="clear" w:color="auto" w:fill="D9D9D9"/>
                </w:tcPr>
                <w:p w:rsidR="00D9209C" w:rsidRPr="00E019FC" w:rsidRDefault="00D9209C" w:rsidP="001D1827">
                  <w:pPr>
                    <w:spacing w:line="240" w:lineRule="atLeast"/>
                    <w:jc w:val="center"/>
                    <w:rPr>
                      <w:b/>
                      <w:sz w:val="24"/>
                      <w:szCs w:val="24"/>
                    </w:rPr>
                  </w:pPr>
                  <w:r w:rsidRPr="00E019FC">
                    <w:rPr>
                      <w:b/>
                      <w:sz w:val="24"/>
                      <w:szCs w:val="24"/>
                    </w:rPr>
                    <w:t>RECESS</w:t>
                  </w:r>
                </w:p>
              </w:tc>
              <w:tc>
                <w:tcPr>
                  <w:tcW w:w="1563" w:type="dxa"/>
                  <w:shd w:val="clear" w:color="auto" w:fill="D9D9D9"/>
                </w:tcPr>
                <w:p w:rsidR="00D9209C" w:rsidRPr="00E019FC" w:rsidRDefault="00D9209C" w:rsidP="001D1827">
                  <w:pPr>
                    <w:jc w:val="center"/>
                    <w:rPr>
                      <w:b/>
                      <w:sz w:val="24"/>
                      <w:szCs w:val="24"/>
                    </w:rPr>
                  </w:pPr>
                  <w:r w:rsidRPr="00E019FC">
                    <w:rPr>
                      <w:b/>
                      <w:sz w:val="24"/>
                      <w:szCs w:val="24"/>
                    </w:rPr>
                    <w:t xml:space="preserve">LANGUAGE </w:t>
                  </w:r>
                </w:p>
                <w:p w:rsidR="00D9209C" w:rsidRPr="00E019FC" w:rsidRDefault="00D9209C" w:rsidP="001D1827">
                  <w:pPr>
                    <w:jc w:val="center"/>
                    <w:rPr>
                      <w:b/>
                      <w:sz w:val="24"/>
                      <w:szCs w:val="24"/>
                    </w:rPr>
                  </w:pPr>
                  <w:r w:rsidRPr="00E019FC">
                    <w:rPr>
                      <w:b/>
                      <w:sz w:val="24"/>
                      <w:szCs w:val="24"/>
                    </w:rPr>
                    <w:t>ARTS</w:t>
                  </w:r>
                </w:p>
              </w:tc>
              <w:tc>
                <w:tcPr>
                  <w:tcW w:w="1412" w:type="dxa"/>
                  <w:shd w:val="clear" w:color="auto" w:fill="D9D9D9"/>
                </w:tcPr>
                <w:p w:rsidR="00D9209C" w:rsidRPr="00E019FC" w:rsidRDefault="00D9209C" w:rsidP="001D1827">
                  <w:pPr>
                    <w:jc w:val="center"/>
                    <w:rPr>
                      <w:b/>
                      <w:sz w:val="24"/>
                      <w:szCs w:val="24"/>
                    </w:rPr>
                  </w:pPr>
                  <w:r w:rsidRPr="00E019FC">
                    <w:rPr>
                      <w:b/>
                      <w:sz w:val="24"/>
                      <w:szCs w:val="24"/>
                    </w:rPr>
                    <w:t>SCIENCE</w:t>
                  </w:r>
                </w:p>
              </w:tc>
            </w:tr>
            <w:tr w:rsidR="00D9209C" w:rsidRPr="00E019FC" w:rsidTr="00E019FC">
              <w:trPr>
                <w:trHeight w:val="1781"/>
              </w:trPr>
              <w:tc>
                <w:tcPr>
                  <w:tcW w:w="1435" w:type="dxa"/>
                </w:tcPr>
                <w:p w:rsidR="00D9209C" w:rsidRPr="00E019FC" w:rsidRDefault="00D9209C" w:rsidP="001D1827">
                  <w:pPr>
                    <w:spacing w:line="240" w:lineRule="atLeast"/>
                    <w:rPr>
                      <w:sz w:val="24"/>
                      <w:szCs w:val="24"/>
                    </w:rPr>
                  </w:pPr>
                </w:p>
                <w:p w:rsidR="00D9209C" w:rsidRPr="00E019FC" w:rsidRDefault="00D9209C" w:rsidP="001D1827">
                  <w:pPr>
                    <w:spacing w:line="240" w:lineRule="atLeast"/>
                    <w:rPr>
                      <w:sz w:val="24"/>
                      <w:szCs w:val="24"/>
                    </w:rPr>
                  </w:pPr>
                  <w:r w:rsidRPr="00E019FC">
                    <w:rPr>
                      <w:sz w:val="24"/>
                      <w:szCs w:val="24"/>
                    </w:rPr>
                    <w:t>Respectful</w:t>
                  </w:r>
                </w:p>
              </w:tc>
              <w:tc>
                <w:tcPr>
                  <w:tcW w:w="1427"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335"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108"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317"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563"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412"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r>
            <w:tr w:rsidR="00D9209C" w:rsidRPr="00E019FC" w:rsidTr="00E019FC">
              <w:trPr>
                <w:trHeight w:val="1979"/>
              </w:trPr>
              <w:tc>
                <w:tcPr>
                  <w:tcW w:w="1435" w:type="dxa"/>
                </w:tcPr>
                <w:p w:rsidR="00D9209C" w:rsidRPr="00E019FC" w:rsidRDefault="00D9209C" w:rsidP="001D1827">
                  <w:pPr>
                    <w:rPr>
                      <w:sz w:val="24"/>
                      <w:szCs w:val="24"/>
                    </w:rPr>
                  </w:pPr>
                </w:p>
                <w:p w:rsidR="00D9209C" w:rsidRPr="00E019FC" w:rsidRDefault="00D9209C" w:rsidP="001D1827">
                  <w:pPr>
                    <w:spacing w:line="240" w:lineRule="atLeast"/>
                    <w:rPr>
                      <w:sz w:val="24"/>
                      <w:szCs w:val="24"/>
                    </w:rPr>
                  </w:pPr>
                  <w:r w:rsidRPr="00E019FC">
                    <w:rPr>
                      <w:sz w:val="24"/>
                      <w:szCs w:val="24"/>
                    </w:rPr>
                    <w:t>Responsible</w:t>
                  </w:r>
                </w:p>
                <w:p w:rsidR="00D9209C" w:rsidRPr="00E019FC" w:rsidRDefault="00D9209C" w:rsidP="001D1827">
                  <w:pPr>
                    <w:rPr>
                      <w:sz w:val="24"/>
                      <w:szCs w:val="24"/>
                    </w:rPr>
                  </w:pPr>
                </w:p>
              </w:tc>
              <w:tc>
                <w:tcPr>
                  <w:tcW w:w="1427"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335"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108"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317"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563"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412"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r>
            <w:tr w:rsidR="00D9209C" w:rsidRPr="00E019FC" w:rsidTr="00E019FC">
              <w:trPr>
                <w:trHeight w:val="1349"/>
              </w:trPr>
              <w:tc>
                <w:tcPr>
                  <w:tcW w:w="1435" w:type="dxa"/>
                </w:tcPr>
                <w:p w:rsidR="00D9209C" w:rsidRPr="00E019FC" w:rsidRDefault="00D9209C" w:rsidP="001D1827">
                  <w:pPr>
                    <w:rPr>
                      <w:sz w:val="24"/>
                      <w:szCs w:val="24"/>
                    </w:rPr>
                  </w:pPr>
                </w:p>
                <w:p w:rsidR="00D9209C" w:rsidRPr="00E019FC" w:rsidRDefault="00D9209C" w:rsidP="001D1827">
                  <w:pPr>
                    <w:spacing w:line="240" w:lineRule="atLeast"/>
                    <w:rPr>
                      <w:sz w:val="24"/>
                      <w:szCs w:val="24"/>
                    </w:rPr>
                  </w:pPr>
                  <w:r w:rsidRPr="00E019FC">
                    <w:rPr>
                      <w:sz w:val="24"/>
                      <w:szCs w:val="24"/>
                    </w:rPr>
                    <w:t>Safe</w:t>
                  </w:r>
                </w:p>
              </w:tc>
              <w:tc>
                <w:tcPr>
                  <w:tcW w:w="1427"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335"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108"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317"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563"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c>
                <w:tcPr>
                  <w:tcW w:w="1412" w:type="dxa"/>
                </w:tcPr>
                <w:p w:rsidR="00D9209C" w:rsidRPr="00E019FC" w:rsidRDefault="00D9209C" w:rsidP="001D1827">
                  <w:pPr>
                    <w:jc w:val="center"/>
                    <w:rPr>
                      <w:b/>
                      <w:sz w:val="24"/>
                      <w:szCs w:val="24"/>
                    </w:rPr>
                  </w:pPr>
                </w:p>
                <w:p w:rsidR="00D9209C" w:rsidRPr="00E019FC" w:rsidRDefault="00D9209C" w:rsidP="001D1827">
                  <w:pPr>
                    <w:jc w:val="center"/>
                    <w:rPr>
                      <w:b/>
                      <w:sz w:val="24"/>
                      <w:szCs w:val="24"/>
                    </w:rPr>
                  </w:pPr>
                </w:p>
                <w:p w:rsidR="00D9209C" w:rsidRPr="00E019FC" w:rsidRDefault="00D9209C" w:rsidP="001D1827">
                  <w:pPr>
                    <w:jc w:val="center"/>
                    <w:rPr>
                      <w:b/>
                      <w:sz w:val="24"/>
                      <w:szCs w:val="24"/>
                    </w:rPr>
                  </w:pPr>
                  <w:r w:rsidRPr="00E019FC">
                    <w:rPr>
                      <w:b/>
                      <w:sz w:val="24"/>
                      <w:szCs w:val="24"/>
                    </w:rPr>
                    <w:t>2    1    0</w:t>
                  </w:r>
                </w:p>
              </w:tc>
            </w:tr>
          </w:tbl>
          <w:p w:rsidR="00D9209C" w:rsidRPr="00BE7F50" w:rsidRDefault="00D9209C" w:rsidP="00BE7F50">
            <w:pPr>
              <w:rPr>
                <w:rFonts w:cs="Times New Roman"/>
              </w:rPr>
            </w:pPr>
          </w:p>
        </w:tc>
      </w:tr>
      <w:tr w:rsidR="00D9209C" w:rsidRPr="00A93428" w:rsidTr="00E019FC">
        <w:trPr>
          <w:trHeight w:val="306"/>
        </w:trPr>
        <w:tc>
          <w:tcPr>
            <w:tcW w:w="9710" w:type="dxa"/>
            <w:shd w:val="clear" w:color="auto" w:fill="D9D9D9" w:themeFill="background1" w:themeFillShade="D9"/>
          </w:tcPr>
          <w:p w:rsidR="00D9209C" w:rsidRPr="00BE7F50" w:rsidRDefault="00D9209C" w:rsidP="00BE7F50">
            <w:pPr>
              <w:rPr>
                <w:rFonts w:cs="Times New Roman"/>
              </w:rPr>
            </w:pPr>
            <w:r w:rsidRPr="00BE7F50">
              <w:rPr>
                <w:rFonts w:cs="Times New Roman"/>
                <w:b/>
              </w:rPr>
              <w:lastRenderedPageBreak/>
              <w:t>Links to video examples:</w:t>
            </w:r>
          </w:p>
        </w:tc>
      </w:tr>
      <w:tr w:rsidR="00D9209C" w:rsidRPr="00A93428" w:rsidTr="00E019FC">
        <w:trPr>
          <w:trHeight w:val="837"/>
        </w:trPr>
        <w:tc>
          <w:tcPr>
            <w:tcW w:w="9710" w:type="dxa"/>
          </w:tcPr>
          <w:p w:rsidR="00D9209C" w:rsidRDefault="00D9209C" w:rsidP="00BE7F50">
            <w:pPr>
              <w:rPr>
                <w:rFonts w:cs="Times New Roman"/>
              </w:rPr>
            </w:pPr>
            <w:r>
              <w:rPr>
                <w:rFonts w:cs="Times New Roman"/>
              </w:rPr>
              <w:t xml:space="preserve">Elementary School Teacher –Tier 2- </w:t>
            </w:r>
            <w:hyperlink r:id="rId8" w:history="1">
              <w:r w:rsidRPr="00FE1FCB">
                <w:rPr>
                  <w:rStyle w:val="Hyperlink"/>
                  <w:rFonts w:cs="Times New Roman"/>
                </w:rPr>
                <w:t>http://www.youtube.com/watch?v=gp3CnmsVTPA</w:t>
              </w:r>
            </w:hyperlink>
          </w:p>
          <w:p w:rsidR="00D9209C" w:rsidRPr="00BE7F50" w:rsidRDefault="00D9209C" w:rsidP="00BE7F50">
            <w:pPr>
              <w:rPr>
                <w:rFonts w:cs="Times New Roman"/>
              </w:rPr>
            </w:pPr>
            <w:r>
              <w:rPr>
                <w:rFonts w:cs="Times New Roman"/>
              </w:rPr>
              <w:t xml:space="preserve">High School </w:t>
            </w:r>
            <w:proofErr w:type="spellStart"/>
            <w:r>
              <w:rPr>
                <w:rFonts w:cs="Times New Roman"/>
              </w:rPr>
              <w:t>School</w:t>
            </w:r>
            <w:proofErr w:type="spellEnd"/>
            <w:r>
              <w:rPr>
                <w:rFonts w:cs="Times New Roman"/>
              </w:rPr>
              <w:t xml:space="preserve"> Teacher – Tier 2- </w:t>
            </w:r>
            <w:hyperlink r:id="rId9" w:history="1">
              <w:r w:rsidRPr="00FE1FCB">
                <w:rPr>
                  <w:rStyle w:val="Hyperlink"/>
                  <w:rFonts w:cs="Times New Roman"/>
                </w:rPr>
                <w:t>http://www.youtube.com/watch?v=0cD2noQi6rk</w:t>
              </w:r>
            </w:hyperlink>
            <w:r>
              <w:rPr>
                <w:rFonts w:cs="Times New Roman"/>
              </w:rPr>
              <w:t xml:space="preserve"> </w:t>
            </w:r>
          </w:p>
        </w:tc>
      </w:tr>
      <w:tr w:rsidR="00D9209C" w:rsidRPr="00A93428" w:rsidTr="00E019FC">
        <w:trPr>
          <w:trHeight w:val="296"/>
        </w:trPr>
        <w:tc>
          <w:tcPr>
            <w:tcW w:w="9710" w:type="dxa"/>
            <w:shd w:val="clear" w:color="auto" w:fill="D9D9D9" w:themeFill="background1" w:themeFillShade="D9"/>
          </w:tcPr>
          <w:p w:rsidR="00D9209C" w:rsidRPr="00BE7F50" w:rsidRDefault="00D9209C" w:rsidP="00BE7F50">
            <w:pPr>
              <w:rPr>
                <w:rFonts w:cs="Times New Roman"/>
              </w:rPr>
            </w:pPr>
            <w:r w:rsidRPr="00BE7F50">
              <w:rPr>
                <w:rFonts w:cs="Times New Roman"/>
                <w:b/>
              </w:rPr>
              <w:t>Important notes:</w:t>
            </w:r>
          </w:p>
        </w:tc>
      </w:tr>
      <w:tr w:rsidR="00D9209C" w:rsidRPr="00A93428" w:rsidTr="00E019FC">
        <w:trPr>
          <w:trHeight w:val="1423"/>
        </w:trPr>
        <w:tc>
          <w:tcPr>
            <w:tcW w:w="9710" w:type="dxa"/>
          </w:tcPr>
          <w:p w:rsidR="00D9209C" w:rsidRPr="00BE7F50" w:rsidRDefault="00D9209C" w:rsidP="00BE7F50">
            <w:pPr>
              <w:rPr>
                <w:rFonts w:cs="Times New Roman"/>
              </w:rPr>
            </w:pPr>
            <w:r>
              <w:rPr>
                <w:rFonts w:cs="Times New Roman"/>
              </w:rPr>
              <w:t>Research suggests that CICO is most effective for students whose behavior is maintained by adult attention rather than students whose behavior is maintained by peer attention or avoidance of academic tasks.</w:t>
            </w:r>
          </w:p>
        </w:tc>
      </w:tr>
    </w:tbl>
    <w:p w:rsidR="00EF5A3A" w:rsidRPr="00A93428" w:rsidRDefault="00EF5A3A">
      <w:pPr>
        <w:rPr>
          <w:rFonts w:cs="Times New Roman"/>
        </w:rPr>
      </w:pPr>
    </w:p>
    <w:sectPr w:rsidR="00EF5A3A" w:rsidRPr="00A93428" w:rsidSect="00EF5A3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29E" w:rsidRDefault="0020729E" w:rsidP="00443389">
      <w:pPr>
        <w:spacing w:after="0" w:line="240" w:lineRule="auto"/>
      </w:pPr>
      <w:r>
        <w:separator/>
      </w:r>
    </w:p>
  </w:endnote>
  <w:endnote w:type="continuationSeparator" w:id="0">
    <w:p w:rsidR="0020729E" w:rsidRDefault="0020729E" w:rsidP="004433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29E" w:rsidRDefault="0020729E" w:rsidP="00443389">
      <w:pPr>
        <w:spacing w:after="0" w:line="240" w:lineRule="auto"/>
      </w:pPr>
      <w:r>
        <w:separator/>
      </w:r>
    </w:p>
  </w:footnote>
  <w:footnote w:type="continuationSeparator" w:id="0">
    <w:p w:rsidR="0020729E" w:rsidRDefault="0020729E" w:rsidP="0044338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3389" w:rsidRDefault="00443389" w:rsidP="00443389">
    <w:pPr>
      <w:pStyle w:val="Header"/>
      <w:jc w:val="center"/>
    </w:pPr>
    <w:r w:rsidRPr="00443389">
      <w:rPr>
        <w:noProof/>
      </w:rPr>
      <w:drawing>
        <wp:inline distT="0" distB="0" distL="0" distR="0">
          <wp:extent cx="3448050" cy="1211477"/>
          <wp:effectExtent l="1905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srcRect/>
                  <a:stretch>
                    <a:fillRect/>
                  </a:stretch>
                </pic:blipFill>
                <pic:spPr bwMode="auto">
                  <a:xfrm>
                    <a:off x="0" y="0"/>
                    <a:ext cx="3452709" cy="1213114"/>
                  </a:xfrm>
                  <a:prstGeom prst="rect">
                    <a:avLst/>
                  </a:prstGeom>
                  <a:noFill/>
                  <a:ln w="9525">
                    <a:noFill/>
                    <a:miter lim="800000"/>
                    <a:headEnd/>
                    <a:tailEnd/>
                  </a:ln>
                </pic:spPr>
              </pic:pic>
            </a:graphicData>
          </a:graphic>
        </wp:inline>
      </w:drawing>
    </w:r>
  </w:p>
  <w:p w:rsidR="00443389" w:rsidRDefault="0044338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A15F5"/>
    <w:multiLevelType w:val="hybridMultilevel"/>
    <w:tmpl w:val="35F68E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AF5AB0"/>
    <w:multiLevelType w:val="hybridMultilevel"/>
    <w:tmpl w:val="233ABFCE"/>
    <w:lvl w:ilvl="0" w:tplc="B6A2EAE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389"/>
    <w:rsid w:val="001525CB"/>
    <w:rsid w:val="001F1F68"/>
    <w:rsid w:val="0020729E"/>
    <w:rsid w:val="0024657A"/>
    <w:rsid w:val="002A44CD"/>
    <w:rsid w:val="003B36F9"/>
    <w:rsid w:val="00415054"/>
    <w:rsid w:val="00443389"/>
    <w:rsid w:val="00454422"/>
    <w:rsid w:val="0047231C"/>
    <w:rsid w:val="005163D3"/>
    <w:rsid w:val="00520078"/>
    <w:rsid w:val="005C7663"/>
    <w:rsid w:val="005D3B44"/>
    <w:rsid w:val="005E2649"/>
    <w:rsid w:val="00603DA1"/>
    <w:rsid w:val="006611F1"/>
    <w:rsid w:val="006D69A9"/>
    <w:rsid w:val="006D69CC"/>
    <w:rsid w:val="00860AC4"/>
    <w:rsid w:val="008F3B64"/>
    <w:rsid w:val="009C7844"/>
    <w:rsid w:val="00A4251B"/>
    <w:rsid w:val="00A668E3"/>
    <w:rsid w:val="00A93428"/>
    <w:rsid w:val="00AC6687"/>
    <w:rsid w:val="00AC770B"/>
    <w:rsid w:val="00B02260"/>
    <w:rsid w:val="00B407C9"/>
    <w:rsid w:val="00BA5473"/>
    <w:rsid w:val="00BE7F50"/>
    <w:rsid w:val="00D62D7A"/>
    <w:rsid w:val="00D9209C"/>
    <w:rsid w:val="00E019FC"/>
    <w:rsid w:val="00EB744D"/>
    <w:rsid w:val="00ED6C78"/>
    <w:rsid w:val="00EF5A3A"/>
    <w:rsid w:val="00FA6851"/>
    <w:rsid w:val="00FD0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customStyle="1" w:styleId="LightShading1">
    <w:name w:val="Light Shading1"/>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E2649"/>
    <w:pPr>
      <w:ind w:left="720"/>
      <w:contextualSpacing/>
    </w:pPr>
  </w:style>
  <w:style w:type="character" w:styleId="Hyperlink">
    <w:name w:val="Hyperlink"/>
    <w:basedOn w:val="DefaultParagraphFont"/>
    <w:uiPriority w:val="99"/>
    <w:unhideWhenUsed/>
    <w:rsid w:val="00E019FC"/>
    <w:rPr>
      <w:color w:val="0000FF" w:themeColor="hyperlink"/>
      <w:u w:val="single"/>
    </w:rPr>
  </w:style>
  <w:style w:type="character" w:styleId="Emphasis">
    <w:name w:val="Emphasis"/>
    <w:basedOn w:val="DefaultParagraphFont"/>
    <w:uiPriority w:val="20"/>
    <w:qFormat/>
    <w:rsid w:val="006611F1"/>
    <w:rPr>
      <w:i/>
      <w:iCs/>
    </w:rPr>
  </w:style>
  <w:style w:type="paragraph" w:customStyle="1" w:styleId="body-paragraph2">
    <w:name w:val="body-paragraph2"/>
    <w:basedOn w:val="Normal"/>
    <w:rsid w:val="00A4251B"/>
    <w:pPr>
      <w:spacing w:before="100" w:beforeAutospacing="1" w:after="100" w:afterAutospacing="1" w:line="240" w:lineRule="auto"/>
      <w:ind w:left="1853"/>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5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433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433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3389"/>
  </w:style>
  <w:style w:type="paragraph" w:styleId="Footer">
    <w:name w:val="footer"/>
    <w:basedOn w:val="Normal"/>
    <w:link w:val="FooterChar"/>
    <w:uiPriority w:val="99"/>
    <w:semiHidden/>
    <w:unhideWhenUsed/>
    <w:rsid w:val="004433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3389"/>
  </w:style>
  <w:style w:type="paragraph" w:styleId="BalloonText">
    <w:name w:val="Balloon Text"/>
    <w:basedOn w:val="Normal"/>
    <w:link w:val="BalloonTextChar"/>
    <w:uiPriority w:val="99"/>
    <w:semiHidden/>
    <w:unhideWhenUsed/>
    <w:rsid w:val="004433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389"/>
    <w:rPr>
      <w:rFonts w:ascii="Tahoma" w:hAnsi="Tahoma" w:cs="Tahoma"/>
      <w:sz w:val="16"/>
      <w:szCs w:val="16"/>
    </w:rPr>
  </w:style>
  <w:style w:type="character" w:styleId="PlaceholderText">
    <w:name w:val="Placeholder Text"/>
    <w:basedOn w:val="DefaultParagraphFont"/>
    <w:uiPriority w:val="99"/>
    <w:semiHidden/>
    <w:rsid w:val="00443389"/>
    <w:rPr>
      <w:color w:val="808080"/>
    </w:rPr>
  </w:style>
  <w:style w:type="table" w:customStyle="1" w:styleId="LightShading1">
    <w:name w:val="Light Shading1"/>
    <w:basedOn w:val="TableNormal"/>
    <w:uiPriority w:val="60"/>
    <w:rsid w:val="00BE7F5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34"/>
    <w:qFormat/>
    <w:rsid w:val="005E2649"/>
    <w:pPr>
      <w:ind w:left="720"/>
      <w:contextualSpacing/>
    </w:pPr>
  </w:style>
  <w:style w:type="character" w:styleId="Hyperlink">
    <w:name w:val="Hyperlink"/>
    <w:basedOn w:val="DefaultParagraphFont"/>
    <w:uiPriority w:val="99"/>
    <w:unhideWhenUsed/>
    <w:rsid w:val="00E019FC"/>
    <w:rPr>
      <w:color w:val="0000FF" w:themeColor="hyperlink"/>
      <w:u w:val="single"/>
    </w:rPr>
  </w:style>
  <w:style w:type="character" w:styleId="Emphasis">
    <w:name w:val="Emphasis"/>
    <w:basedOn w:val="DefaultParagraphFont"/>
    <w:uiPriority w:val="20"/>
    <w:qFormat/>
    <w:rsid w:val="006611F1"/>
    <w:rPr>
      <w:i/>
      <w:iCs/>
    </w:rPr>
  </w:style>
  <w:style w:type="paragraph" w:customStyle="1" w:styleId="body-paragraph2">
    <w:name w:val="body-paragraph2"/>
    <w:basedOn w:val="Normal"/>
    <w:rsid w:val="00A4251B"/>
    <w:pPr>
      <w:spacing w:before="100" w:beforeAutospacing="1" w:after="100" w:afterAutospacing="1" w:line="240" w:lineRule="auto"/>
      <w:ind w:left="1853"/>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3041715">
      <w:bodyDiv w:val="1"/>
      <w:marLeft w:val="0"/>
      <w:marRight w:val="0"/>
      <w:marTop w:val="0"/>
      <w:marBottom w:val="0"/>
      <w:divBdr>
        <w:top w:val="none" w:sz="0" w:space="0" w:color="auto"/>
        <w:left w:val="none" w:sz="0" w:space="0" w:color="auto"/>
        <w:bottom w:val="none" w:sz="0" w:space="0" w:color="auto"/>
        <w:right w:val="none" w:sz="0" w:space="0" w:color="auto"/>
      </w:divBdr>
      <w:divsChild>
        <w:div w:id="1631789149">
          <w:marLeft w:val="0"/>
          <w:marRight w:val="0"/>
          <w:marTop w:val="0"/>
          <w:marBottom w:val="0"/>
          <w:divBdr>
            <w:top w:val="none" w:sz="0" w:space="0" w:color="auto"/>
            <w:left w:val="none" w:sz="0" w:space="0" w:color="auto"/>
            <w:bottom w:val="none" w:sz="0" w:space="0" w:color="auto"/>
            <w:right w:val="none" w:sz="0" w:space="0" w:color="auto"/>
          </w:divBdr>
          <w:divsChild>
            <w:div w:id="997852410">
              <w:marLeft w:val="0"/>
              <w:marRight w:val="0"/>
              <w:marTop w:val="0"/>
              <w:marBottom w:val="0"/>
              <w:divBdr>
                <w:top w:val="none" w:sz="0" w:space="0" w:color="auto"/>
                <w:left w:val="none" w:sz="0" w:space="0" w:color="auto"/>
                <w:bottom w:val="none" w:sz="0" w:space="0" w:color="auto"/>
                <w:right w:val="none" w:sz="0" w:space="0" w:color="auto"/>
              </w:divBdr>
              <w:divsChild>
                <w:div w:id="504520395">
                  <w:marLeft w:val="0"/>
                  <w:marRight w:val="0"/>
                  <w:marTop w:val="0"/>
                  <w:marBottom w:val="0"/>
                  <w:divBdr>
                    <w:top w:val="none" w:sz="0" w:space="0" w:color="auto"/>
                    <w:left w:val="none" w:sz="0" w:space="0" w:color="auto"/>
                    <w:bottom w:val="none" w:sz="0" w:space="0" w:color="auto"/>
                    <w:right w:val="none" w:sz="0" w:space="0" w:color="auto"/>
                  </w:divBdr>
                  <w:divsChild>
                    <w:div w:id="1803231575">
                      <w:marLeft w:val="313"/>
                      <w:marRight w:val="313"/>
                      <w:marTop w:val="0"/>
                      <w:marBottom w:val="0"/>
                      <w:divBdr>
                        <w:top w:val="none" w:sz="0" w:space="0" w:color="auto"/>
                        <w:left w:val="none" w:sz="0" w:space="0" w:color="auto"/>
                        <w:bottom w:val="none" w:sz="0" w:space="0" w:color="auto"/>
                        <w:right w:val="none" w:sz="0" w:space="0" w:color="auto"/>
                      </w:divBdr>
                      <w:divsChild>
                        <w:div w:id="781268064">
                          <w:marLeft w:val="100"/>
                          <w:marRight w:val="0"/>
                          <w:marTop w:val="0"/>
                          <w:marBottom w:val="0"/>
                          <w:divBdr>
                            <w:top w:val="none" w:sz="0" w:space="0" w:color="auto"/>
                            <w:left w:val="none" w:sz="0" w:space="0" w:color="auto"/>
                            <w:bottom w:val="single" w:sz="4" w:space="0" w:color="AAAAAA"/>
                            <w:right w:val="none" w:sz="0" w:space="0" w:color="auto"/>
                          </w:divBdr>
                          <w:divsChild>
                            <w:div w:id="1673872196">
                              <w:marLeft w:val="0"/>
                              <w:marRight w:val="0"/>
                              <w:marTop w:val="0"/>
                              <w:marBottom w:val="0"/>
                              <w:divBdr>
                                <w:top w:val="none" w:sz="0" w:space="0" w:color="auto"/>
                                <w:left w:val="none" w:sz="0" w:space="0" w:color="auto"/>
                                <w:bottom w:val="none" w:sz="0" w:space="0" w:color="auto"/>
                                <w:right w:val="none" w:sz="0" w:space="0" w:color="auto"/>
                              </w:divBdr>
                              <w:divsChild>
                                <w:div w:id="38554128">
                                  <w:marLeft w:val="0"/>
                                  <w:marRight w:val="0"/>
                                  <w:marTop w:val="0"/>
                                  <w:marBottom w:val="0"/>
                                  <w:divBdr>
                                    <w:top w:val="none" w:sz="0" w:space="0" w:color="auto"/>
                                    <w:left w:val="none" w:sz="0" w:space="0" w:color="auto"/>
                                    <w:bottom w:val="none" w:sz="0" w:space="0" w:color="auto"/>
                                    <w:right w:val="none" w:sz="0" w:space="0" w:color="auto"/>
                                  </w:divBdr>
                                  <w:divsChild>
                                    <w:div w:id="2115048863">
                                      <w:marLeft w:val="-188"/>
                                      <w:marRight w:val="-163"/>
                                      <w:marTop w:val="0"/>
                                      <w:marBottom w:val="63"/>
                                      <w:divBdr>
                                        <w:top w:val="none" w:sz="0" w:space="0" w:color="auto"/>
                                        <w:left w:val="none" w:sz="0" w:space="0" w:color="auto"/>
                                        <w:bottom w:val="none" w:sz="0" w:space="0" w:color="auto"/>
                                        <w:right w:val="none" w:sz="0" w:space="0" w:color="auto"/>
                                      </w:divBdr>
                                      <w:divsChild>
                                        <w:div w:id="14471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8532188">
      <w:bodyDiv w:val="1"/>
      <w:marLeft w:val="0"/>
      <w:marRight w:val="0"/>
      <w:marTop w:val="0"/>
      <w:marBottom w:val="0"/>
      <w:divBdr>
        <w:top w:val="none" w:sz="0" w:space="0" w:color="auto"/>
        <w:left w:val="none" w:sz="0" w:space="0" w:color="auto"/>
        <w:bottom w:val="none" w:sz="0" w:space="0" w:color="auto"/>
        <w:right w:val="none" w:sz="0" w:space="0" w:color="auto"/>
      </w:divBdr>
    </w:div>
    <w:div w:id="1306548322">
      <w:bodyDiv w:val="1"/>
      <w:marLeft w:val="0"/>
      <w:marRight w:val="0"/>
      <w:marTop w:val="0"/>
      <w:marBottom w:val="0"/>
      <w:divBdr>
        <w:top w:val="none" w:sz="0" w:space="0" w:color="auto"/>
        <w:left w:val="none" w:sz="0" w:space="0" w:color="auto"/>
        <w:bottom w:val="none" w:sz="0" w:space="0" w:color="auto"/>
        <w:right w:val="none" w:sz="0" w:space="0" w:color="auto"/>
      </w:divBdr>
      <w:divsChild>
        <w:div w:id="875855806">
          <w:marLeft w:val="0"/>
          <w:marRight w:val="0"/>
          <w:marTop w:val="0"/>
          <w:marBottom w:val="0"/>
          <w:divBdr>
            <w:top w:val="none" w:sz="0" w:space="0" w:color="auto"/>
            <w:left w:val="none" w:sz="0" w:space="0" w:color="auto"/>
            <w:bottom w:val="none" w:sz="0" w:space="0" w:color="auto"/>
            <w:right w:val="none" w:sz="0" w:space="0" w:color="auto"/>
          </w:divBdr>
          <w:divsChild>
            <w:div w:id="698090384">
              <w:marLeft w:val="0"/>
              <w:marRight w:val="0"/>
              <w:marTop w:val="0"/>
              <w:marBottom w:val="0"/>
              <w:divBdr>
                <w:top w:val="none" w:sz="0" w:space="0" w:color="auto"/>
                <w:left w:val="none" w:sz="0" w:space="0" w:color="auto"/>
                <w:bottom w:val="none" w:sz="0" w:space="0" w:color="auto"/>
                <w:right w:val="none" w:sz="0" w:space="0" w:color="auto"/>
              </w:divBdr>
              <w:divsChild>
                <w:div w:id="1876236127">
                  <w:marLeft w:val="0"/>
                  <w:marRight w:val="0"/>
                  <w:marTop w:val="0"/>
                  <w:marBottom w:val="0"/>
                  <w:divBdr>
                    <w:top w:val="none" w:sz="0" w:space="0" w:color="auto"/>
                    <w:left w:val="none" w:sz="0" w:space="0" w:color="auto"/>
                    <w:bottom w:val="none" w:sz="0" w:space="0" w:color="auto"/>
                    <w:right w:val="none" w:sz="0" w:space="0" w:color="auto"/>
                  </w:divBdr>
                  <w:divsChild>
                    <w:div w:id="320044904">
                      <w:marLeft w:val="313"/>
                      <w:marRight w:val="313"/>
                      <w:marTop w:val="0"/>
                      <w:marBottom w:val="0"/>
                      <w:divBdr>
                        <w:top w:val="none" w:sz="0" w:space="0" w:color="auto"/>
                        <w:left w:val="none" w:sz="0" w:space="0" w:color="auto"/>
                        <w:bottom w:val="none" w:sz="0" w:space="0" w:color="auto"/>
                        <w:right w:val="none" w:sz="0" w:space="0" w:color="auto"/>
                      </w:divBdr>
                      <w:divsChild>
                        <w:div w:id="1049381056">
                          <w:marLeft w:val="100"/>
                          <w:marRight w:val="0"/>
                          <w:marTop w:val="0"/>
                          <w:marBottom w:val="0"/>
                          <w:divBdr>
                            <w:top w:val="none" w:sz="0" w:space="0" w:color="auto"/>
                            <w:left w:val="none" w:sz="0" w:space="0" w:color="auto"/>
                            <w:bottom w:val="single" w:sz="4" w:space="0" w:color="AAAAAA"/>
                            <w:right w:val="none" w:sz="0" w:space="0" w:color="auto"/>
                          </w:divBdr>
                          <w:divsChild>
                            <w:div w:id="978418158">
                              <w:marLeft w:val="0"/>
                              <w:marRight w:val="0"/>
                              <w:marTop w:val="0"/>
                              <w:marBottom w:val="0"/>
                              <w:divBdr>
                                <w:top w:val="none" w:sz="0" w:space="0" w:color="auto"/>
                                <w:left w:val="none" w:sz="0" w:space="0" w:color="auto"/>
                                <w:bottom w:val="none" w:sz="0" w:space="0" w:color="auto"/>
                                <w:right w:val="none" w:sz="0" w:space="0" w:color="auto"/>
                              </w:divBdr>
                              <w:divsChild>
                                <w:div w:id="1439596051">
                                  <w:marLeft w:val="0"/>
                                  <w:marRight w:val="0"/>
                                  <w:marTop w:val="0"/>
                                  <w:marBottom w:val="0"/>
                                  <w:divBdr>
                                    <w:top w:val="none" w:sz="0" w:space="0" w:color="auto"/>
                                    <w:left w:val="none" w:sz="0" w:space="0" w:color="auto"/>
                                    <w:bottom w:val="none" w:sz="0" w:space="0" w:color="auto"/>
                                    <w:right w:val="none" w:sz="0" w:space="0" w:color="auto"/>
                                  </w:divBdr>
                                  <w:divsChild>
                                    <w:div w:id="1626034758">
                                      <w:marLeft w:val="-188"/>
                                      <w:marRight w:val="-163"/>
                                      <w:marTop w:val="0"/>
                                      <w:marBottom w:val="63"/>
                                      <w:divBdr>
                                        <w:top w:val="none" w:sz="0" w:space="0" w:color="auto"/>
                                        <w:left w:val="none" w:sz="0" w:space="0" w:color="auto"/>
                                        <w:bottom w:val="none" w:sz="0" w:space="0" w:color="auto"/>
                                        <w:right w:val="none" w:sz="0" w:space="0" w:color="auto"/>
                                      </w:divBdr>
                                      <w:divsChild>
                                        <w:div w:id="17605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outube.com/watch?v=gp3CnmsVTPA" TargetMode="External"/><Relationship Id="rId9" Type="http://schemas.openxmlformats.org/officeDocument/2006/relationships/hyperlink" Target="http://www.youtube.com/watch?v=0cD2noQi6rk"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4880</Characters>
  <Application>Microsoft Macintosh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Metro Resa</Company>
  <LinksUpToDate>false</LinksUpToDate>
  <CharactersWithSpaces>5724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Jessica.Schuster</dc:creator>
  <cp:lastModifiedBy>IPH</cp:lastModifiedBy>
  <cp:revision>2</cp:revision>
  <dcterms:created xsi:type="dcterms:W3CDTF">2016-04-03T16:00:00Z</dcterms:created>
  <dcterms:modified xsi:type="dcterms:W3CDTF">2016-04-03T16:00:00Z</dcterms:modified>
  <cp:category>Intervention</cp:category>
</cp:coreProperties>
</file>