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89" w:rsidRPr="00A93428" w:rsidRDefault="008D1182" w:rsidP="00443389">
      <w:pPr>
        <w:jc w:val="center"/>
        <w:rPr>
          <w:rFonts w:cs="Times New Roman"/>
          <w:b/>
          <w:sz w:val="28"/>
          <w:szCs w:val="28"/>
          <w:u w:val="single"/>
        </w:rPr>
      </w:pPr>
      <w:bookmarkStart w:id="0" w:name="_GoBack"/>
      <w:bookmarkEnd w:id="0"/>
      <w:r>
        <w:rPr>
          <w:rFonts w:cs="Times New Roman"/>
          <w:b/>
          <w:sz w:val="28"/>
          <w:szCs w:val="28"/>
          <w:u w:val="single"/>
        </w:rPr>
        <w:t>“Take 5” Breaks</w:t>
      </w:r>
    </w:p>
    <w:tbl>
      <w:tblPr>
        <w:tblStyle w:val="TableGrid"/>
        <w:tblW w:w="9710" w:type="dxa"/>
        <w:tblLook w:val="04A0" w:firstRow="1" w:lastRow="0" w:firstColumn="1" w:lastColumn="0" w:noHBand="0" w:noVBand="1"/>
      </w:tblPr>
      <w:tblGrid>
        <w:gridCol w:w="9710"/>
      </w:tblGrid>
      <w:tr w:rsidR="00443389" w:rsidRPr="00A93428" w:rsidTr="00885208">
        <w:trPr>
          <w:trHeight w:val="342"/>
        </w:trPr>
        <w:tc>
          <w:tcPr>
            <w:tcW w:w="9710" w:type="dxa"/>
            <w:shd w:val="clear" w:color="auto" w:fill="D9D9D9" w:themeFill="background1" w:themeFillShade="D9"/>
          </w:tcPr>
          <w:p w:rsidR="008D1182" w:rsidRPr="00217FD1" w:rsidRDefault="00443389" w:rsidP="00885208">
            <w:pPr>
              <w:rPr>
                <w:rFonts w:eastAsia="Times New Roman" w:cs="Times New Roman"/>
              </w:rPr>
            </w:pPr>
            <w:r w:rsidRPr="008D1182">
              <w:rPr>
                <w:rFonts w:cs="Times New Roman"/>
                <w:b/>
              </w:rPr>
              <w:t>Reference Articles:</w:t>
            </w:r>
          </w:p>
        </w:tc>
      </w:tr>
      <w:tr w:rsidR="00885208" w:rsidRPr="00A93428" w:rsidTr="00443389">
        <w:trPr>
          <w:trHeight w:val="1273"/>
        </w:trPr>
        <w:tc>
          <w:tcPr>
            <w:tcW w:w="9710" w:type="dxa"/>
          </w:tcPr>
          <w:p w:rsidR="00885208" w:rsidRPr="008D1182" w:rsidRDefault="00885208" w:rsidP="00217FD1">
            <w:pPr>
              <w:spacing w:before="100" w:beforeAutospacing="1" w:after="100" w:afterAutospacing="1"/>
              <w:outlineLvl w:val="0"/>
              <w:rPr>
                <w:rFonts w:cs="Times New Roman"/>
                <w:b/>
              </w:rPr>
            </w:pPr>
            <w:r w:rsidRPr="00217FD1">
              <w:rPr>
                <w:rFonts w:eastAsia="Times New Roman" w:cs="Times New Roman"/>
                <w:bCs/>
                <w:kern w:val="36"/>
              </w:rPr>
              <w:t xml:space="preserve">Function-Based Treatments for Escape-Maintained Problem Behavior: A Treatment-Selection Model for Practicing Behavior Analysts  </w:t>
            </w:r>
            <w:hyperlink r:id="rId8" w:history="1">
              <w:proofErr w:type="spellStart"/>
              <w:r w:rsidRPr="00217FD1">
                <w:rPr>
                  <w:rFonts w:eastAsia="Times New Roman" w:cs="Times New Roman"/>
                  <w:color w:val="0000FF"/>
                  <w:u w:val="single"/>
                </w:rPr>
                <w:t>Kaneen</w:t>
              </w:r>
              <w:proofErr w:type="spellEnd"/>
              <w:r w:rsidRPr="00217FD1">
                <w:rPr>
                  <w:rFonts w:eastAsia="Times New Roman" w:cs="Times New Roman"/>
                  <w:color w:val="0000FF"/>
                  <w:u w:val="single"/>
                </w:rPr>
                <w:t xml:space="preserve"> B Geiger</w:t>
              </w:r>
            </w:hyperlink>
            <w:r w:rsidRPr="00217FD1">
              <w:rPr>
                <w:rFonts w:eastAsia="Times New Roman" w:cs="Times New Roman"/>
              </w:rPr>
              <w:t xml:space="preserve">, M.S., </w:t>
            </w:r>
            <w:hyperlink r:id="rId9" w:history="1">
              <w:r w:rsidRPr="00217FD1">
                <w:rPr>
                  <w:rFonts w:eastAsia="Times New Roman" w:cs="Times New Roman"/>
                  <w:color w:val="0000FF"/>
                  <w:u w:val="single"/>
                </w:rPr>
                <w:t>James E Carr</w:t>
              </w:r>
            </w:hyperlink>
            <w:r w:rsidRPr="00217FD1">
              <w:rPr>
                <w:rFonts w:eastAsia="Times New Roman" w:cs="Times New Roman"/>
              </w:rPr>
              <w:t xml:space="preserve">, Ph.D., BCBA-D, and </w:t>
            </w:r>
            <w:hyperlink r:id="rId10" w:history="1">
              <w:r w:rsidRPr="00217FD1">
                <w:rPr>
                  <w:rFonts w:eastAsia="Times New Roman" w:cs="Times New Roman"/>
                  <w:color w:val="0000FF"/>
                  <w:u w:val="single"/>
                </w:rPr>
                <w:t>Linda A LeBlanc</w:t>
              </w:r>
            </w:hyperlink>
            <w:r w:rsidRPr="00217FD1">
              <w:rPr>
                <w:rFonts w:eastAsia="Times New Roman" w:cs="Times New Roman"/>
              </w:rPr>
              <w:t>, Ph.D., BCBA-D</w:t>
            </w:r>
          </w:p>
        </w:tc>
      </w:tr>
      <w:tr w:rsidR="00A93428" w:rsidRPr="00A93428" w:rsidTr="00885208">
        <w:trPr>
          <w:trHeight w:val="273"/>
        </w:trPr>
        <w:tc>
          <w:tcPr>
            <w:tcW w:w="9710" w:type="dxa"/>
            <w:shd w:val="clear" w:color="auto" w:fill="D9D9D9" w:themeFill="background1" w:themeFillShade="D9"/>
          </w:tcPr>
          <w:p w:rsidR="00285139" w:rsidRPr="00285139" w:rsidRDefault="008D1182" w:rsidP="00885208">
            <w:pPr>
              <w:rPr>
                <w:rFonts w:cs="Times New Roman"/>
              </w:rPr>
            </w:pPr>
            <w:r>
              <w:rPr>
                <w:rFonts w:cs="Times New Roman"/>
                <w:b/>
              </w:rPr>
              <w:t>Function of Intervention</w:t>
            </w:r>
            <w:r w:rsidR="00A93428" w:rsidRPr="008D1182">
              <w:rPr>
                <w:rFonts w:cs="Times New Roman"/>
                <w:b/>
              </w:rPr>
              <w:t>: (escape, attention, tangible, sensory):</w:t>
            </w:r>
          </w:p>
        </w:tc>
      </w:tr>
      <w:tr w:rsidR="00885208" w:rsidRPr="00A93428" w:rsidTr="00A93428">
        <w:trPr>
          <w:trHeight w:val="519"/>
        </w:trPr>
        <w:tc>
          <w:tcPr>
            <w:tcW w:w="9710" w:type="dxa"/>
          </w:tcPr>
          <w:p w:rsidR="00885208" w:rsidRDefault="00885208" w:rsidP="00885208">
            <w:pPr>
              <w:pStyle w:val="ListParagraph"/>
              <w:ind w:left="0"/>
              <w:rPr>
                <w:rFonts w:cs="Times New Roman"/>
                <w:b/>
              </w:rPr>
            </w:pPr>
            <w:r>
              <w:rPr>
                <w:rFonts w:cs="Times New Roman"/>
              </w:rPr>
              <w:t>E</w:t>
            </w:r>
            <w:r w:rsidRPr="00285139">
              <w:rPr>
                <w:rFonts w:cs="Times New Roman"/>
              </w:rPr>
              <w:t>scape</w:t>
            </w:r>
          </w:p>
        </w:tc>
      </w:tr>
      <w:tr w:rsidR="00DA4711" w:rsidRPr="00A93428" w:rsidTr="00DA4711">
        <w:trPr>
          <w:trHeight w:val="350"/>
        </w:trPr>
        <w:tc>
          <w:tcPr>
            <w:tcW w:w="9710" w:type="dxa"/>
            <w:shd w:val="clear" w:color="auto" w:fill="D9D9D9" w:themeFill="background1" w:themeFillShade="D9"/>
          </w:tcPr>
          <w:p w:rsidR="00DA4711" w:rsidRPr="00DA4711" w:rsidRDefault="00DA4711" w:rsidP="00885208">
            <w:pPr>
              <w:pStyle w:val="ListParagraph"/>
              <w:ind w:left="0"/>
              <w:rPr>
                <w:rFonts w:cs="Times New Roman"/>
                <w:b/>
              </w:rPr>
            </w:pPr>
            <w:r w:rsidRPr="00DA4711">
              <w:rPr>
                <w:rFonts w:cs="Times New Roman"/>
                <w:b/>
              </w:rPr>
              <w:t>Description of Intervention:</w:t>
            </w:r>
          </w:p>
        </w:tc>
      </w:tr>
      <w:tr w:rsidR="00DA4711" w:rsidRPr="00A93428" w:rsidTr="00A93428">
        <w:trPr>
          <w:trHeight w:val="519"/>
        </w:trPr>
        <w:tc>
          <w:tcPr>
            <w:tcW w:w="9710" w:type="dxa"/>
          </w:tcPr>
          <w:p w:rsidR="00DA4711" w:rsidRDefault="00DA4711" w:rsidP="00885208">
            <w:pPr>
              <w:pStyle w:val="ListParagraph"/>
              <w:ind w:left="0"/>
              <w:rPr>
                <w:rFonts w:cs="Times New Roman"/>
              </w:rPr>
            </w:pPr>
            <w:r>
              <w:t>If you have a student whose function of the behavior is escape, “Take 5” can be an effective strategy for teaching the student a more effective way to communicate his/her need for a break.</w:t>
            </w:r>
          </w:p>
        </w:tc>
      </w:tr>
      <w:tr w:rsidR="00443389" w:rsidRPr="00A93428" w:rsidTr="00885208">
        <w:trPr>
          <w:trHeight w:val="253"/>
        </w:trPr>
        <w:tc>
          <w:tcPr>
            <w:tcW w:w="9710" w:type="dxa"/>
            <w:shd w:val="clear" w:color="auto" w:fill="D9D9D9" w:themeFill="background1" w:themeFillShade="D9"/>
          </w:tcPr>
          <w:p w:rsidR="00285139" w:rsidRPr="00A93428" w:rsidRDefault="00443389" w:rsidP="00885208">
            <w:pPr>
              <w:rPr>
                <w:rFonts w:cs="Times New Roman"/>
              </w:rPr>
            </w:pPr>
            <w:r w:rsidRPr="008D1182">
              <w:rPr>
                <w:rFonts w:cs="Times New Roman"/>
                <w:b/>
              </w:rPr>
              <w:t>Steps of intervention:</w:t>
            </w:r>
          </w:p>
        </w:tc>
      </w:tr>
      <w:tr w:rsidR="00885208" w:rsidRPr="00A93428" w:rsidTr="00443389">
        <w:trPr>
          <w:trHeight w:val="7250"/>
        </w:trPr>
        <w:tc>
          <w:tcPr>
            <w:tcW w:w="9710" w:type="dxa"/>
          </w:tcPr>
          <w:p w:rsidR="00885208" w:rsidRDefault="00885208" w:rsidP="00285139">
            <w:pPr>
              <w:pStyle w:val="ListParagraph"/>
              <w:numPr>
                <w:ilvl w:val="0"/>
                <w:numId w:val="1"/>
              </w:numPr>
            </w:pPr>
            <w:r>
              <w:t>Conduct an FBA and determine that the function of the student’s behavior is escape</w:t>
            </w:r>
          </w:p>
          <w:p w:rsidR="00885208" w:rsidRDefault="00885208" w:rsidP="00285139">
            <w:pPr>
              <w:pStyle w:val="ListParagraph"/>
            </w:pPr>
          </w:p>
          <w:p w:rsidR="00885208" w:rsidRDefault="00885208" w:rsidP="00285139">
            <w:pPr>
              <w:pStyle w:val="ListParagraph"/>
              <w:numPr>
                <w:ilvl w:val="0"/>
                <w:numId w:val="1"/>
              </w:numPr>
            </w:pPr>
            <w:r>
              <w:t xml:space="preserve">Develop an age-appropriate system for the student to request a predetermined number of “Take 5” breaks. </w:t>
            </w:r>
          </w:p>
          <w:p w:rsidR="00885208" w:rsidRDefault="00885208" w:rsidP="00285139">
            <w:pPr>
              <w:pStyle w:val="ListParagraph"/>
              <w:ind w:left="1440"/>
            </w:pPr>
          </w:p>
          <w:p w:rsidR="00885208" w:rsidRDefault="00885208" w:rsidP="00285139">
            <w:pPr>
              <w:pStyle w:val="ListParagraph"/>
              <w:numPr>
                <w:ilvl w:val="0"/>
                <w:numId w:val="1"/>
              </w:numPr>
            </w:pPr>
            <w:r>
              <w:t xml:space="preserve">Determine the number of breaks that the student should get per class period by reviewing your baseline data. For example, if the baseline data suggested that the student was off task an average </w:t>
            </w:r>
            <w:proofErr w:type="gramStart"/>
            <w:r>
              <w:t>of</w:t>
            </w:r>
            <w:proofErr w:type="gramEnd"/>
            <w:r>
              <w:t xml:space="preserve"> two times per class period, give the student two “Take 5” passes per period. If the student was off task an average of four times per class period, give the student four “Take 5” passes per period. If the student was off task four times during math and never during reading, give the student four passes during math and none during reading. Tell the student that “Take 5” is only for math. </w:t>
            </w:r>
          </w:p>
          <w:p w:rsidR="00885208" w:rsidRDefault="00885208" w:rsidP="00285139">
            <w:pPr>
              <w:pStyle w:val="ListParagraph"/>
            </w:pPr>
          </w:p>
          <w:p w:rsidR="00885208" w:rsidRDefault="00885208" w:rsidP="00285139">
            <w:pPr>
              <w:pStyle w:val="ListParagraph"/>
              <w:numPr>
                <w:ilvl w:val="0"/>
                <w:numId w:val="1"/>
              </w:numPr>
            </w:pPr>
            <w:r>
              <w:t>Teach the student how to do the following:</w:t>
            </w:r>
          </w:p>
          <w:p w:rsidR="00885208" w:rsidRDefault="00885208" w:rsidP="00285139">
            <w:pPr>
              <w:pStyle w:val="ListParagraph"/>
              <w:numPr>
                <w:ilvl w:val="1"/>
                <w:numId w:val="1"/>
              </w:numPr>
            </w:pPr>
            <w:r>
              <w:t>Recognize that he needs a break</w:t>
            </w:r>
          </w:p>
          <w:p w:rsidR="00885208" w:rsidRDefault="00885208" w:rsidP="00285139">
            <w:pPr>
              <w:pStyle w:val="ListParagraph"/>
              <w:numPr>
                <w:ilvl w:val="1"/>
                <w:numId w:val="1"/>
              </w:numPr>
            </w:pPr>
            <w:r>
              <w:t>Request a “Take 5” break using the system you identify</w:t>
            </w:r>
          </w:p>
          <w:p w:rsidR="00885208" w:rsidRDefault="00885208" w:rsidP="00285139">
            <w:pPr>
              <w:pStyle w:val="ListParagraph"/>
              <w:numPr>
                <w:ilvl w:val="1"/>
                <w:numId w:val="1"/>
              </w:numPr>
            </w:pPr>
            <w:r>
              <w:t xml:space="preserve">Remain quietly occupied during the “Take 5” break. Some teams have developed folders of alternative, fun activities for the student to do at his desk during the “Take 5”. If students draw, they can do this during a “Take 5.” One team had a list of activities that the student could do outside of the classroom (get a drink, go to the bathroom, take something to the front office staff) during his “Take 5” break because he seemed to need that movement. </w:t>
            </w:r>
          </w:p>
          <w:p w:rsidR="00885208" w:rsidRDefault="00885208" w:rsidP="00285139">
            <w:pPr>
              <w:pStyle w:val="ListParagraph"/>
              <w:numPr>
                <w:ilvl w:val="1"/>
                <w:numId w:val="1"/>
              </w:numPr>
            </w:pPr>
            <w:r>
              <w:t xml:space="preserve">Return back to task after the “Take 5.” This can be the most difficult task. This often requires the use of </w:t>
            </w:r>
            <w:r w:rsidRPr="00603257">
              <w:rPr>
                <w:i/>
              </w:rPr>
              <w:t>behavioral momentum</w:t>
            </w:r>
            <w:r>
              <w:t xml:space="preserve"> by the teacher until the student has learned how to transition back appropriately. See the attached </w:t>
            </w:r>
            <w:r w:rsidRPr="00603257">
              <w:rPr>
                <w:i/>
              </w:rPr>
              <w:t>behavioral momentum</w:t>
            </w:r>
            <w:r>
              <w:t xml:space="preserve"> instructions.</w:t>
            </w:r>
          </w:p>
          <w:p w:rsidR="00885208" w:rsidRPr="008D1182" w:rsidRDefault="00885208" w:rsidP="00885208">
            <w:pPr>
              <w:rPr>
                <w:rFonts w:cs="Times New Roman"/>
                <w:b/>
              </w:rPr>
            </w:pPr>
          </w:p>
        </w:tc>
      </w:tr>
      <w:tr w:rsidR="00443389" w:rsidRPr="00A93428" w:rsidTr="00885208">
        <w:trPr>
          <w:trHeight w:val="502"/>
        </w:trPr>
        <w:tc>
          <w:tcPr>
            <w:tcW w:w="9710" w:type="dxa"/>
            <w:shd w:val="clear" w:color="auto" w:fill="D9D9D9" w:themeFill="background1" w:themeFillShade="D9"/>
          </w:tcPr>
          <w:p w:rsidR="00285139" w:rsidRPr="00A93428" w:rsidRDefault="00443389" w:rsidP="00885208">
            <w:pPr>
              <w:rPr>
                <w:rFonts w:cs="Times New Roman"/>
              </w:rPr>
            </w:pPr>
            <w:r w:rsidRPr="008D1182">
              <w:rPr>
                <w:rFonts w:cs="Times New Roman"/>
                <w:b/>
              </w:rPr>
              <w:lastRenderedPageBreak/>
              <w:t xml:space="preserve">Examples: (if intervention looks different for Elementary vs. Middle/High or EBD </w:t>
            </w:r>
            <w:proofErr w:type="spellStart"/>
            <w:r w:rsidRPr="008D1182">
              <w:rPr>
                <w:rFonts w:cs="Times New Roman"/>
                <w:b/>
              </w:rPr>
              <w:t>vs</w:t>
            </w:r>
            <w:proofErr w:type="spellEnd"/>
            <w:r w:rsidRPr="008D1182">
              <w:rPr>
                <w:rFonts w:cs="Times New Roman"/>
                <w:b/>
              </w:rPr>
              <w:t xml:space="preserve"> ASD, please indicate)</w:t>
            </w:r>
          </w:p>
        </w:tc>
      </w:tr>
      <w:tr w:rsidR="00885208" w:rsidRPr="00A93428" w:rsidTr="00885208">
        <w:trPr>
          <w:trHeight w:val="1862"/>
        </w:trPr>
        <w:tc>
          <w:tcPr>
            <w:tcW w:w="9710" w:type="dxa"/>
            <w:tcBorders>
              <w:bottom w:val="single" w:sz="4" w:space="0" w:color="auto"/>
            </w:tcBorders>
          </w:tcPr>
          <w:p w:rsidR="00885208" w:rsidRDefault="00885208" w:rsidP="00285139">
            <w:pPr>
              <w:pStyle w:val="ListParagraph"/>
              <w:numPr>
                <w:ilvl w:val="0"/>
                <w:numId w:val="2"/>
              </w:numPr>
            </w:pPr>
            <w:r w:rsidRPr="00CD5E50">
              <w:rPr>
                <w:i/>
              </w:rPr>
              <w:t>Younger Student:</w:t>
            </w:r>
            <w:r>
              <w:t xml:space="preserve"> 3” x 3” laminated passes with a number 5 on each</w:t>
            </w:r>
          </w:p>
          <w:p w:rsidR="00885208" w:rsidRDefault="00885208" w:rsidP="00285139">
            <w:pPr>
              <w:pStyle w:val="ListParagraph"/>
              <w:numPr>
                <w:ilvl w:val="0"/>
                <w:numId w:val="2"/>
              </w:numPr>
            </w:pPr>
            <w:r w:rsidRPr="00CD5E50">
              <w:rPr>
                <w:i/>
              </w:rPr>
              <w:t>Younger Student:</w:t>
            </w:r>
            <w:r>
              <w:t xml:space="preserve"> Popsicle sticks with the number 5 written on each</w:t>
            </w:r>
          </w:p>
          <w:p w:rsidR="00885208" w:rsidRPr="008D1182" w:rsidRDefault="00885208" w:rsidP="00885208">
            <w:pPr>
              <w:pStyle w:val="ListParagraph"/>
              <w:numPr>
                <w:ilvl w:val="0"/>
                <w:numId w:val="2"/>
              </w:numPr>
              <w:rPr>
                <w:rFonts w:cs="Times New Roman"/>
                <w:b/>
              </w:rPr>
            </w:pPr>
            <w:r w:rsidRPr="00CD5E50">
              <w:rPr>
                <w:i/>
              </w:rPr>
              <w:t>Older Student:</w:t>
            </w:r>
            <w:r>
              <w:t xml:space="preserve"> Small sheet of paper taped somewhere visible to the student. The paper can be divided by class periods with the number 5 typed in each class period. This would be look like a common self-monitoring form where the student could cross off a 5 each time he/she used a “Take 5”   </w:t>
            </w:r>
          </w:p>
        </w:tc>
      </w:tr>
      <w:tr w:rsidR="00443389" w:rsidRPr="00A93428" w:rsidTr="00885208">
        <w:trPr>
          <w:trHeight w:val="217"/>
        </w:trPr>
        <w:tc>
          <w:tcPr>
            <w:tcW w:w="9710" w:type="dxa"/>
            <w:shd w:val="clear" w:color="auto" w:fill="D9D9D9" w:themeFill="background1" w:themeFillShade="D9"/>
          </w:tcPr>
          <w:p w:rsidR="00285139" w:rsidRPr="00A93428" w:rsidRDefault="00443389" w:rsidP="00885208">
            <w:pPr>
              <w:rPr>
                <w:rFonts w:cs="Times New Roman"/>
              </w:rPr>
            </w:pPr>
            <w:r w:rsidRPr="008D1182">
              <w:rPr>
                <w:rFonts w:cs="Times New Roman"/>
                <w:b/>
              </w:rPr>
              <w:t>Data Collection Method: (how would you take data on this intervention?)</w:t>
            </w:r>
          </w:p>
        </w:tc>
      </w:tr>
      <w:tr w:rsidR="00885208" w:rsidRPr="00A93428" w:rsidTr="00443389">
        <w:trPr>
          <w:trHeight w:val="2528"/>
        </w:trPr>
        <w:tc>
          <w:tcPr>
            <w:tcW w:w="9710" w:type="dxa"/>
          </w:tcPr>
          <w:tbl>
            <w:tblPr>
              <w:tblStyle w:val="TableGrid"/>
              <w:tblW w:w="0" w:type="auto"/>
              <w:tblLook w:val="04A0" w:firstRow="1" w:lastRow="0" w:firstColumn="1" w:lastColumn="0" w:noHBand="0" w:noVBand="1"/>
            </w:tblPr>
            <w:tblGrid>
              <w:gridCol w:w="1165"/>
              <w:gridCol w:w="1710"/>
              <w:gridCol w:w="1710"/>
              <w:gridCol w:w="2070"/>
              <w:gridCol w:w="2070"/>
            </w:tblGrid>
            <w:tr w:rsidR="00885208" w:rsidTr="00D46DD6">
              <w:tc>
                <w:tcPr>
                  <w:tcW w:w="1165" w:type="dxa"/>
                </w:tcPr>
                <w:p w:rsidR="00885208" w:rsidRPr="008D1182" w:rsidRDefault="00885208" w:rsidP="00D46DD6">
                  <w:pPr>
                    <w:jc w:val="center"/>
                    <w:rPr>
                      <w:rFonts w:cs="Times New Roman"/>
                      <w:b/>
                    </w:rPr>
                  </w:pPr>
                  <w:r w:rsidRPr="008D1182">
                    <w:rPr>
                      <w:rFonts w:cs="Times New Roman"/>
                      <w:b/>
                    </w:rPr>
                    <w:t>Date</w:t>
                  </w:r>
                </w:p>
              </w:tc>
              <w:tc>
                <w:tcPr>
                  <w:tcW w:w="1710" w:type="dxa"/>
                </w:tcPr>
                <w:p w:rsidR="00885208" w:rsidRPr="008D1182" w:rsidRDefault="00885208" w:rsidP="00D46DD6">
                  <w:pPr>
                    <w:jc w:val="center"/>
                    <w:rPr>
                      <w:rFonts w:cs="Times New Roman"/>
                      <w:b/>
                    </w:rPr>
                  </w:pPr>
                  <w:r>
                    <w:rPr>
                      <w:rFonts w:cs="Times New Roman"/>
                      <w:b/>
                    </w:rPr>
                    <w:t># Offered</w:t>
                  </w:r>
                </w:p>
              </w:tc>
              <w:tc>
                <w:tcPr>
                  <w:tcW w:w="1710" w:type="dxa"/>
                </w:tcPr>
                <w:p w:rsidR="00885208" w:rsidRPr="008D1182" w:rsidRDefault="00885208" w:rsidP="00D46DD6">
                  <w:pPr>
                    <w:jc w:val="center"/>
                    <w:rPr>
                      <w:rFonts w:cs="Times New Roman"/>
                      <w:b/>
                    </w:rPr>
                  </w:pPr>
                  <w:r>
                    <w:rPr>
                      <w:rFonts w:cs="Times New Roman"/>
                      <w:b/>
                    </w:rPr>
                    <w:t># Used</w:t>
                  </w:r>
                </w:p>
              </w:tc>
              <w:tc>
                <w:tcPr>
                  <w:tcW w:w="2070" w:type="dxa"/>
                </w:tcPr>
                <w:p w:rsidR="00885208" w:rsidRPr="008D1182" w:rsidRDefault="00885208" w:rsidP="00D46DD6">
                  <w:pPr>
                    <w:jc w:val="center"/>
                    <w:rPr>
                      <w:rFonts w:cs="Times New Roman"/>
                      <w:b/>
                    </w:rPr>
                  </w:pPr>
                  <w:r w:rsidRPr="008D1182">
                    <w:rPr>
                      <w:rFonts w:cs="Times New Roman"/>
                      <w:b/>
                    </w:rPr>
                    <w:t># of independent</w:t>
                  </w:r>
                </w:p>
              </w:tc>
              <w:tc>
                <w:tcPr>
                  <w:tcW w:w="2070" w:type="dxa"/>
                </w:tcPr>
                <w:p w:rsidR="00885208" w:rsidRPr="008D1182" w:rsidRDefault="00885208" w:rsidP="00D46DD6">
                  <w:pPr>
                    <w:jc w:val="center"/>
                    <w:rPr>
                      <w:rFonts w:cs="Times New Roman"/>
                      <w:b/>
                    </w:rPr>
                  </w:pPr>
                  <w:r w:rsidRPr="008D1182">
                    <w:rPr>
                      <w:rFonts w:cs="Times New Roman"/>
                      <w:b/>
                    </w:rPr>
                    <w:t>% Independent</w:t>
                  </w:r>
                </w:p>
              </w:tc>
            </w:tr>
            <w:tr w:rsidR="00885208" w:rsidTr="00D46DD6">
              <w:tc>
                <w:tcPr>
                  <w:tcW w:w="1165" w:type="dxa"/>
                </w:tcPr>
                <w:p w:rsidR="00885208" w:rsidRDefault="00885208" w:rsidP="00D46DD6">
                  <w:pPr>
                    <w:rPr>
                      <w:rFonts w:cs="Times New Roman"/>
                    </w:rPr>
                  </w:pPr>
                  <w:r>
                    <w:rPr>
                      <w:rFonts w:cs="Times New Roman"/>
                    </w:rPr>
                    <w:t>11/11/14</w:t>
                  </w:r>
                </w:p>
              </w:tc>
              <w:tc>
                <w:tcPr>
                  <w:tcW w:w="1710" w:type="dxa"/>
                </w:tcPr>
                <w:p w:rsidR="00885208" w:rsidRDefault="00885208" w:rsidP="00D46DD6">
                  <w:pPr>
                    <w:jc w:val="center"/>
                    <w:rPr>
                      <w:rFonts w:cs="Times New Roman"/>
                    </w:rPr>
                  </w:pPr>
                </w:p>
              </w:tc>
              <w:tc>
                <w:tcPr>
                  <w:tcW w:w="1710" w:type="dxa"/>
                </w:tcPr>
                <w:p w:rsidR="00885208" w:rsidRDefault="00885208" w:rsidP="00D46DD6">
                  <w:pPr>
                    <w:jc w:val="center"/>
                    <w:rPr>
                      <w:rFonts w:cs="Times New Roman"/>
                    </w:rPr>
                  </w:pPr>
                  <w:r>
                    <w:rPr>
                      <w:rFonts w:cs="Times New Roman"/>
                    </w:rPr>
                    <w:t>20</w:t>
                  </w:r>
                </w:p>
              </w:tc>
              <w:tc>
                <w:tcPr>
                  <w:tcW w:w="2070" w:type="dxa"/>
                </w:tcPr>
                <w:p w:rsidR="00885208" w:rsidRDefault="00885208" w:rsidP="00D46DD6">
                  <w:pPr>
                    <w:jc w:val="center"/>
                    <w:rPr>
                      <w:rFonts w:cs="Times New Roman"/>
                    </w:rPr>
                  </w:pPr>
                  <w:r>
                    <w:rPr>
                      <w:rFonts w:cs="Times New Roman"/>
                    </w:rPr>
                    <w:t>12</w:t>
                  </w:r>
                </w:p>
              </w:tc>
              <w:tc>
                <w:tcPr>
                  <w:tcW w:w="2070" w:type="dxa"/>
                </w:tcPr>
                <w:p w:rsidR="00885208" w:rsidRDefault="00885208" w:rsidP="00D46DD6">
                  <w:pPr>
                    <w:jc w:val="center"/>
                    <w:rPr>
                      <w:rFonts w:cs="Times New Roman"/>
                    </w:rPr>
                  </w:pPr>
                  <w:r>
                    <w:rPr>
                      <w:rFonts w:cs="Times New Roman"/>
                    </w:rPr>
                    <w:t>60%</w:t>
                  </w:r>
                </w:p>
              </w:tc>
            </w:tr>
            <w:tr w:rsidR="00885208" w:rsidTr="00D46DD6">
              <w:tc>
                <w:tcPr>
                  <w:tcW w:w="1165" w:type="dxa"/>
                </w:tcPr>
                <w:p w:rsidR="00885208" w:rsidRDefault="00885208" w:rsidP="00D46DD6">
                  <w:pPr>
                    <w:rPr>
                      <w:rFonts w:cs="Times New Roman"/>
                    </w:rPr>
                  </w:pPr>
                </w:p>
              </w:tc>
              <w:tc>
                <w:tcPr>
                  <w:tcW w:w="1710" w:type="dxa"/>
                </w:tcPr>
                <w:p w:rsidR="00885208" w:rsidRDefault="00885208" w:rsidP="00D46DD6">
                  <w:pPr>
                    <w:jc w:val="center"/>
                    <w:rPr>
                      <w:rFonts w:cs="Times New Roman"/>
                    </w:rPr>
                  </w:pPr>
                </w:p>
              </w:tc>
              <w:tc>
                <w:tcPr>
                  <w:tcW w:w="1710" w:type="dxa"/>
                </w:tcPr>
                <w:p w:rsidR="00885208" w:rsidRDefault="00885208" w:rsidP="00D46DD6">
                  <w:pPr>
                    <w:jc w:val="center"/>
                    <w:rPr>
                      <w:rFonts w:cs="Times New Roman"/>
                    </w:rPr>
                  </w:pPr>
                </w:p>
              </w:tc>
              <w:tc>
                <w:tcPr>
                  <w:tcW w:w="2070" w:type="dxa"/>
                </w:tcPr>
                <w:p w:rsidR="00885208" w:rsidRDefault="00885208" w:rsidP="00D46DD6">
                  <w:pPr>
                    <w:jc w:val="center"/>
                    <w:rPr>
                      <w:rFonts w:cs="Times New Roman"/>
                    </w:rPr>
                  </w:pPr>
                </w:p>
              </w:tc>
              <w:tc>
                <w:tcPr>
                  <w:tcW w:w="2070" w:type="dxa"/>
                </w:tcPr>
                <w:p w:rsidR="00885208" w:rsidRDefault="00885208" w:rsidP="00D46DD6">
                  <w:pPr>
                    <w:jc w:val="center"/>
                    <w:rPr>
                      <w:rFonts w:cs="Times New Roman"/>
                    </w:rPr>
                  </w:pPr>
                </w:p>
              </w:tc>
            </w:tr>
            <w:tr w:rsidR="00885208" w:rsidTr="00D46DD6">
              <w:tc>
                <w:tcPr>
                  <w:tcW w:w="1165" w:type="dxa"/>
                </w:tcPr>
                <w:p w:rsidR="00885208" w:rsidRDefault="00885208" w:rsidP="00D46DD6">
                  <w:pPr>
                    <w:rPr>
                      <w:rFonts w:cs="Times New Roman"/>
                    </w:rPr>
                  </w:pPr>
                </w:p>
              </w:tc>
              <w:tc>
                <w:tcPr>
                  <w:tcW w:w="1710" w:type="dxa"/>
                </w:tcPr>
                <w:p w:rsidR="00885208" w:rsidRDefault="00885208" w:rsidP="00D46DD6">
                  <w:pPr>
                    <w:jc w:val="center"/>
                    <w:rPr>
                      <w:rFonts w:cs="Times New Roman"/>
                    </w:rPr>
                  </w:pPr>
                </w:p>
              </w:tc>
              <w:tc>
                <w:tcPr>
                  <w:tcW w:w="1710" w:type="dxa"/>
                </w:tcPr>
                <w:p w:rsidR="00885208" w:rsidRDefault="00885208" w:rsidP="00D46DD6">
                  <w:pPr>
                    <w:jc w:val="center"/>
                    <w:rPr>
                      <w:rFonts w:cs="Times New Roman"/>
                    </w:rPr>
                  </w:pPr>
                </w:p>
              </w:tc>
              <w:tc>
                <w:tcPr>
                  <w:tcW w:w="2070" w:type="dxa"/>
                </w:tcPr>
                <w:p w:rsidR="00885208" w:rsidRDefault="00885208" w:rsidP="00D46DD6">
                  <w:pPr>
                    <w:jc w:val="center"/>
                    <w:rPr>
                      <w:rFonts w:cs="Times New Roman"/>
                    </w:rPr>
                  </w:pPr>
                </w:p>
              </w:tc>
              <w:tc>
                <w:tcPr>
                  <w:tcW w:w="2070" w:type="dxa"/>
                </w:tcPr>
                <w:p w:rsidR="00885208" w:rsidRDefault="00885208" w:rsidP="00D46DD6">
                  <w:pPr>
                    <w:jc w:val="center"/>
                    <w:rPr>
                      <w:rFonts w:cs="Times New Roman"/>
                    </w:rPr>
                  </w:pPr>
                </w:p>
              </w:tc>
            </w:tr>
            <w:tr w:rsidR="00885208" w:rsidTr="00D46DD6">
              <w:tc>
                <w:tcPr>
                  <w:tcW w:w="1165" w:type="dxa"/>
                </w:tcPr>
                <w:p w:rsidR="00885208" w:rsidRDefault="00885208" w:rsidP="00D46DD6">
                  <w:pPr>
                    <w:rPr>
                      <w:rFonts w:cs="Times New Roman"/>
                    </w:rPr>
                  </w:pPr>
                </w:p>
              </w:tc>
              <w:tc>
                <w:tcPr>
                  <w:tcW w:w="1710" w:type="dxa"/>
                </w:tcPr>
                <w:p w:rsidR="00885208" w:rsidRDefault="00885208" w:rsidP="00D46DD6">
                  <w:pPr>
                    <w:jc w:val="center"/>
                    <w:rPr>
                      <w:rFonts w:cs="Times New Roman"/>
                    </w:rPr>
                  </w:pPr>
                </w:p>
              </w:tc>
              <w:tc>
                <w:tcPr>
                  <w:tcW w:w="1710" w:type="dxa"/>
                </w:tcPr>
                <w:p w:rsidR="00885208" w:rsidRDefault="00885208" w:rsidP="00D46DD6">
                  <w:pPr>
                    <w:jc w:val="center"/>
                    <w:rPr>
                      <w:rFonts w:cs="Times New Roman"/>
                    </w:rPr>
                  </w:pPr>
                </w:p>
              </w:tc>
              <w:tc>
                <w:tcPr>
                  <w:tcW w:w="2070" w:type="dxa"/>
                </w:tcPr>
                <w:p w:rsidR="00885208" w:rsidRDefault="00885208" w:rsidP="00D46DD6">
                  <w:pPr>
                    <w:jc w:val="center"/>
                    <w:rPr>
                      <w:rFonts w:cs="Times New Roman"/>
                    </w:rPr>
                  </w:pPr>
                </w:p>
              </w:tc>
              <w:tc>
                <w:tcPr>
                  <w:tcW w:w="2070" w:type="dxa"/>
                </w:tcPr>
                <w:p w:rsidR="00885208" w:rsidRDefault="00885208" w:rsidP="00D46DD6">
                  <w:pPr>
                    <w:jc w:val="center"/>
                    <w:rPr>
                      <w:rFonts w:cs="Times New Roman"/>
                    </w:rPr>
                  </w:pPr>
                </w:p>
              </w:tc>
            </w:tr>
            <w:tr w:rsidR="00885208" w:rsidTr="00D46DD6">
              <w:tc>
                <w:tcPr>
                  <w:tcW w:w="1165" w:type="dxa"/>
                </w:tcPr>
                <w:p w:rsidR="00885208" w:rsidRDefault="00885208" w:rsidP="00D46DD6">
                  <w:pPr>
                    <w:rPr>
                      <w:rFonts w:cs="Times New Roman"/>
                    </w:rPr>
                  </w:pPr>
                </w:p>
              </w:tc>
              <w:tc>
                <w:tcPr>
                  <w:tcW w:w="1710" w:type="dxa"/>
                </w:tcPr>
                <w:p w:rsidR="00885208" w:rsidRDefault="00885208" w:rsidP="00D46DD6">
                  <w:pPr>
                    <w:jc w:val="center"/>
                    <w:rPr>
                      <w:rFonts w:cs="Times New Roman"/>
                    </w:rPr>
                  </w:pPr>
                </w:p>
              </w:tc>
              <w:tc>
                <w:tcPr>
                  <w:tcW w:w="1710" w:type="dxa"/>
                </w:tcPr>
                <w:p w:rsidR="00885208" w:rsidRDefault="00885208" w:rsidP="00D46DD6">
                  <w:pPr>
                    <w:jc w:val="center"/>
                    <w:rPr>
                      <w:rFonts w:cs="Times New Roman"/>
                    </w:rPr>
                  </w:pPr>
                </w:p>
              </w:tc>
              <w:tc>
                <w:tcPr>
                  <w:tcW w:w="2070" w:type="dxa"/>
                </w:tcPr>
                <w:p w:rsidR="00885208" w:rsidRDefault="00885208" w:rsidP="00D46DD6">
                  <w:pPr>
                    <w:jc w:val="center"/>
                    <w:rPr>
                      <w:rFonts w:cs="Times New Roman"/>
                    </w:rPr>
                  </w:pPr>
                </w:p>
              </w:tc>
              <w:tc>
                <w:tcPr>
                  <w:tcW w:w="2070" w:type="dxa"/>
                </w:tcPr>
                <w:p w:rsidR="00885208" w:rsidRDefault="00885208" w:rsidP="00D46DD6">
                  <w:pPr>
                    <w:jc w:val="center"/>
                    <w:rPr>
                      <w:rFonts w:cs="Times New Roman"/>
                    </w:rPr>
                  </w:pPr>
                </w:p>
              </w:tc>
            </w:tr>
          </w:tbl>
          <w:p w:rsidR="00885208" w:rsidRDefault="00885208">
            <w:pPr>
              <w:rPr>
                <w:rFonts w:cs="Times New Roman"/>
              </w:rPr>
            </w:pPr>
          </w:p>
          <w:p w:rsidR="00885208" w:rsidRDefault="00885208">
            <w:pPr>
              <w:rPr>
                <w:rFonts w:cs="Times New Roman"/>
              </w:rPr>
            </w:pPr>
            <w:r>
              <w:rPr>
                <w:rFonts w:cs="Times New Roman"/>
              </w:rPr>
              <w:t>To fade intervention, reduce # offered once % Independent becomes 100% over 3 consecutive days.</w:t>
            </w:r>
          </w:p>
          <w:p w:rsidR="00885208" w:rsidRPr="008D1182" w:rsidRDefault="00885208" w:rsidP="00885208">
            <w:pPr>
              <w:rPr>
                <w:rFonts w:cs="Times New Roman"/>
                <w:b/>
              </w:rPr>
            </w:pPr>
          </w:p>
        </w:tc>
      </w:tr>
      <w:tr w:rsidR="00443389" w:rsidRPr="00A93428" w:rsidTr="00885208">
        <w:trPr>
          <w:trHeight w:val="301"/>
        </w:trPr>
        <w:tc>
          <w:tcPr>
            <w:tcW w:w="9710" w:type="dxa"/>
            <w:shd w:val="clear" w:color="auto" w:fill="D9D9D9" w:themeFill="background1" w:themeFillShade="D9"/>
          </w:tcPr>
          <w:p w:rsidR="00443389" w:rsidRPr="008D1182" w:rsidRDefault="00443389">
            <w:pPr>
              <w:rPr>
                <w:rFonts w:cs="Times New Roman"/>
                <w:b/>
              </w:rPr>
            </w:pPr>
            <w:r w:rsidRPr="008D1182">
              <w:rPr>
                <w:rFonts w:cs="Times New Roman"/>
                <w:b/>
              </w:rPr>
              <w:t>Links to video examples:</w:t>
            </w:r>
          </w:p>
        </w:tc>
      </w:tr>
      <w:tr w:rsidR="00885208" w:rsidRPr="00A93428" w:rsidTr="00A93428">
        <w:trPr>
          <w:trHeight w:val="841"/>
        </w:trPr>
        <w:tc>
          <w:tcPr>
            <w:tcW w:w="9710" w:type="dxa"/>
          </w:tcPr>
          <w:p w:rsidR="00885208" w:rsidRPr="008D1182" w:rsidRDefault="00885208" w:rsidP="00885208">
            <w:pPr>
              <w:rPr>
                <w:rFonts w:cs="Times New Roman"/>
                <w:b/>
              </w:rPr>
            </w:pPr>
          </w:p>
        </w:tc>
      </w:tr>
      <w:tr w:rsidR="00443389" w:rsidRPr="00A93428" w:rsidTr="00885208">
        <w:trPr>
          <w:trHeight w:val="246"/>
        </w:trPr>
        <w:tc>
          <w:tcPr>
            <w:tcW w:w="9710" w:type="dxa"/>
            <w:shd w:val="clear" w:color="auto" w:fill="D9D9D9" w:themeFill="background1" w:themeFillShade="D9"/>
          </w:tcPr>
          <w:p w:rsidR="00285139" w:rsidRPr="008D1182" w:rsidRDefault="00443389" w:rsidP="00885208">
            <w:r w:rsidRPr="008D1182">
              <w:rPr>
                <w:rFonts w:cs="Times New Roman"/>
                <w:b/>
              </w:rPr>
              <w:t>Important notes:</w:t>
            </w:r>
          </w:p>
        </w:tc>
      </w:tr>
      <w:tr w:rsidR="00885208" w:rsidRPr="00A93428" w:rsidTr="00443389">
        <w:trPr>
          <w:trHeight w:val="1473"/>
        </w:trPr>
        <w:tc>
          <w:tcPr>
            <w:tcW w:w="9710" w:type="dxa"/>
          </w:tcPr>
          <w:p w:rsidR="00885208" w:rsidRPr="008D1182" w:rsidRDefault="00885208" w:rsidP="00885208">
            <w:pPr>
              <w:rPr>
                <w:rFonts w:cs="Times New Roman"/>
                <w:b/>
              </w:rPr>
            </w:pPr>
            <w:r>
              <w:t xml:space="preserve">“Take 5” is a </w:t>
            </w:r>
            <w:r w:rsidRPr="007F3A7B">
              <w:rPr>
                <w:u w:val="single"/>
              </w:rPr>
              <w:t>non-earned intervention</w:t>
            </w:r>
            <w:r>
              <w:t xml:space="preserve">, meaning that the student does not earn the “Take 5” breaks for appropriate behavior and he does not lose the breaks if there is problem behavior. Through this intervention, we are trying to teach the student a more appropriate way to request short breaks from difficult tasks. </w:t>
            </w:r>
          </w:p>
        </w:tc>
      </w:tr>
    </w:tbl>
    <w:p w:rsidR="00EF5A3A" w:rsidRPr="00A93428" w:rsidRDefault="00EF5A3A">
      <w:pPr>
        <w:rPr>
          <w:rFonts w:cs="Times New Roman"/>
        </w:rPr>
      </w:pPr>
    </w:p>
    <w:sectPr w:rsidR="00EF5A3A" w:rsidRPr="00A93428" w:rsidSect="00EF5A3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67" w:rsidRDefault="002C3467" w:rsidP="00443389">
      <w:pPr>
        <w:spacing w:after="0" w:line="240" w:lineRule="auto"/>
      </w:pPr>
      <w:r>
        <w:separator/>
      </w:r>
    </w:p>
  </w:endnote>
  <w:endnote w:type="continuationSeparator" w:id="0">
    <w:p w:rsidR="002C3467" w:rsidRDefault="002C3467" w:rsidP="0044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67" w:rsidRDefault="002C3467" w:rsidP="00443389">
      <w:pPr>
        <w:spacing w:after="0" w:line="240" w:lineRule="auto"/>
      </w:pPr>
      <w:r>
        <w:separator/>
      </w:r>
    </w:p>
  </w:footnote>
  <w:footnote w:type="continuationSeparator" w:id="0">
    <w:p w:rsidR="002C3467" w:rsidRDefault="002C3467" w:rsidP="004433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89" w:rsidRDefault="00443389" w:rsidP="00443389">
    <w:pPr>
      <w:pStyle w:val="Header"/>
      <w:jc w:val="center"/>
    </w:pPr>
    <w:r w:rsidRPr="00443389">
      <w:rPr>
        <w:noProof/>
      </w:rPr>
      <w:drawing>
        <wp:inline distT="0" distB="0" distL="0" distR="0">
          <wp:extent cx="3448050" cy="1211477"/>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3452709" cy="1213114"/>
                  </a:xfrm>
                  <a:prstGeom prst="rect">
                    <a:avLst/>
                  </a:prstGeom>
                  <a:noFill/>
                  <a:ln w="9525">
                    <a:noFill/>
                    <a:miter lim="800000"/>
                    <a:headEnd/>
                    <a:tailEnd/>
                  </a:ln>
                </pic:spPr>
              </pic:pic>
            </a:graphicData>
          </a:graphic>
        </wp:inline>
      </w:drawing>
    </w:r>
  </w:p>
  <w:p w:rsidR="00443389" w:rsidRDefault="004433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F0BBC"/>
    <w:multiLevelType w:val="hybridMultilevel"/>
    <w:tmpl w:val="CB589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D3F3EB2"/>
    <w:multiLevelType w:val="hybridMultilevel"/>
    <w:tmpl w:val="0BC0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9C31BB"/>
    <w:multiLevelType w:val="hybridMultilevel"/>
    <w:tmpl w:val="483CB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89"/>
    <w:rsid w:val="00017259"/>
    <w:rsid w:val="00217FD1"/>
    <w:rsid w:val="00285139"/>
    <w:rsid w:val="002C3467"/>
    <w:rsid w:val="002D50F0"/>
    <w:rsid w:val="00410A56"/>
    <w:rsid w:val="00443389"/>
    <w:rsid w:val="005D3B44"/>
    <w:rsid w:val="006F2C82"/>
    <w:rsid w:val="00770E30"/>
    <w:rsid w:val="007C2C0D"/>
    <w:rsid w:val="00885208"/>
    <w:rsid w:val="008B0F8A"/>
    <w:rsid w:val="008D1182"/>
    <w:rsid w:val="00A93428"/>
    <w:rsid w:val="00B92CEE"/>
    <w:rsid w:val="00D46DD6"/>
    <w:rsid w:val="00DA4711"/>
    <w:rsid w:val="00EF5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3A"/>
  </w:style>
  <w:style w:type="paragraph" w:styleId="Heading1">
    <w:name w:val="heading 1"/>
    <w:basedOn w:val="Normal"/>
    <w:link w:val="Heading1Char"/>
    <w:uiPriority w:val="9"/>
    <w:qFormat/>
    <w:rsid w:val="008D1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89"/>
  </w:style>
  <w:style w:type="paragraph" w:styleId="Footer">
    <w:name w:val="footer"/>
    <w:basedOn w:val="Normal"/>
    <w:link w:val="FooterChar"/>
    <w:uiPriority w:val="99"/>
    <w:semiHidden/>
    <w:unhideWhenUsed/>
    <w:rsid w:val="004433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389"/>
  </w:style>
  <w:style w:type="paragraph" w:styleId="BalloonText">
    <w:name w:val="Balloon Text"/>
    <w:basedOn w:val="Normal"/>
    <w:link w:val="BalloonTextChar"/>
    <w:uiPriority w:val="99"/>
    <w:semiHidden/>
    <w:unhideWhenUsed/>
    <w:rsid w:val="0044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89"/>
    <w:rPr>
      <w:rFonts w:ascii="Tahoma" w:hAnsi="Tahoma" w:cs="Tahoma"/>
      <w:sz w:val="16"/>
      <w:szCs w:val="16"/>
    </w:rPr>
  </w:style>
  <w:style w:type="character" w:styleId="PlaceholderText">
    <w:name w:val="Placeholder Text"/>
    <w:basedOn w:val="DefaultParagraphFont"/>
    <w:uiPriority w:val="99"/>
    <w:semiHidden/>
    <w:rsid w:val="00443389"/>
    <w:rPr>
      <w:color w:val="808080"/>
    </w:rPr>
  </w:style>
  <w:style w:type="paragraph" w:styleId="ListParagraph">
    <w:name w:val="List Paragraph"/>
    <w:basedOn w:val="Normal"/>
    <w:uiPriority w:val="34"/>
    <w:qFormat/>
    <w:rsid w:val="00285139"/>
    <w:pPr>
      <w:ind w:left="720"/>
      <w:contextualSpacing/>
    </w:pPr>
  </w:style>
  <w:style w:type="character" w:customStyle="1" w:styleId="Heading1Char">
    <w:name w:val="Heading 1 Char"/>
    <w:basedOn w:val="DefaultParagraphFont"/>
    <w:link w:val="Heading1"/>
    <w:uiPriority w:val="9"/>
    <w:rsid w:val="008D118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D1182"/>
    <w:rPr>
      <w:color w:val="0000FF"/>
      <w:u w:val="single"/>
    </w:rPr>
  </w:style>
  <w:style w:type="character" w:customStyle="1" w:styleId="mixed-citation">
    <w:name w:val="mixed-citation"/>
    <w:basedOn w:val="DefaultParagraphFont"/>
    <w:rsid w:val="008D1182"/>
  </w:style>
  <w:style w:type="character" w:customStyle="1" w:styleId="ref-journal">
    <w:name w:val="ref-journal"/>
    <w:basedOn w:val="DefaultParagraphFont"/>
    <w:rsid w:val="008D1182"/>
  </w:style>
  <w:style w:type="character" w:customStyle="1" w:styleId="ref-vol">
    <w:name w:val="ref-vol"/>
    <w:basedOn w:val="DefaultParagraphFont"/>
    <w:rsid w:val="008D1182"/>
  </w:style>
  <w:style w:type="character" w:customStyle="1" w:styleId="nowrap">
    <w:name w:val="nowrap"/>
    <w:basedOn w:val="DefaultParagraphFont"/>
    <w:rsid w:val="008D11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3A"/>
  </w:style>
  <w:style w:type="paragraph" w:styleId="Heading1">
    <w:name w:val="heading 1"/>
    <w:basedOn w:val="Normal"/>
    <w:link w:val="Heading1Char"/>
    <w:uiPriority w:val="9"/>
    <w:qFormat/>
    <w:rsid w:val="008D1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89"/>
  </w:style>
  <w:style w:type="paragraph" w:styleId="Footer">
    <w:name w:val="footer"/>
    <w:basedOn w:val="Normal"/>
    <w:link w:val="FooterChar"/>
    <w:uiPriority w:val="99"/>
    <w:semiHidden/>
    <w:unhideWhenUsed/>
    <w:rsid w:val="004433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389"/>
  </w:style>
  <w:style w:type="paragraph" w:styleId="BalloonText">
    <w:name w:val="Balloon Text"/>
    <w:basedOn w:val="Normal"/>
    <w:link w:val="BalloonTextChar"/>
    <w:uiPriority w:val="99"/>
    <w:semiHidden/>
    <w:unhideWhenUsed/>
    <w:rsid w:val="0044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89"/>
    <w:rPr>
      <w:rFonts w:ascii="Tahoma" w:hAnsi="Tahoma" w:cs="Tahoma"/>
      <w:sz w:val="16"/>
      <w:szCs w:val="16"/>
    </w:rPr>
  </w:style>
  <w:style w:type="character" w:styleId="PlaceholderText">
    <w:name w:val="Placeholder Text"/>
    <w:basedOn w:val="DefaultParagraphFont"/>
    <w:uiPriority w:val="99"/>
    <w:semiHidden/>
    <w:rsid w:val="00443389"/>
    <w:rPr>
      <w:color w:val="808080"/>
    </w:rPr>
  </w:style>
  <w:style w:type="paragraph" w:styleId="ListParagraph">
    <w:name w:val="List Paragraph"/>
    <w:basedOn w:val="Normal"/>
    <w:uiPriority w:val="34"/>
    <w:qFormat/>
    <w:rsid w:val="00285139"/>
    <w:pPr>
      <w:ind w:left="720"/>
      <w:contextualSpacing/>
    </w:pPr>
  </w:style>
  <w:style w:type="character" w:customStyle="1" w:styleId="Heading1Char">
    <w:name w:val="Heading 1 Char"/>
    <w:basedOn w:val="DefaultParagraphFont"/>
    <w:link w:val="Heading1"/>
    <w:uiPriority w:val="9"/>
    <w:rsid w:val="008D118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D1182"/>
    <w:rPr>
      <w:color w:val="0000FF"/>
      <w:u w:val="single"/>
    </w:rPr>
  </w:style>
  <w:style w:type="character" w:customStyle="1" w:styleId="mixed-citation">
    <w:name w:val="mixed-citation"/>
    <w:basedOn w:val="DefaultParagraphFont"/>
    <w:rsid w:val="008D1182"/>
  </w:style>
  <w:style w:type="character" w:customStyle="1" w:styleId="ref-journal">
    <w:name w:val="ref-journal"/>
    <w:basedOn w:val="DefaultParagraphFont"/>
    <w:rsid w:val="008D1182"/>
  </w:style>
  <w:style w:type="character" w:customStyle="1" w:styleId="ref-vol">
    <w:name w:val="ref-vol"/>
    <w:basedOn w:val="DefaultParagraphFont"/>
    <w:rsid w:val="008D1182"/>
  </w:style>
  <w:style w:type="character" w:customStyle="1" w:styleId="nowrap">
    <w:name w:val="nowrap"/>
    <w:basedOn w:val="DefaultParagraphFont"/>
    <w:rsid w:val="008D1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94762">
      <w:bodyDiv w:val="1"/>
      <w:marLeft w:val="0"/>
      <w:marRight w:val="0"/>
      <w:marTop w:val="0"/>
      <w:marBottom w:val="0"/>
      <w:divBdr>
        <w:top w:val="none" w:sz="0" w:space="0" w:color="auto"/>
        <w:left w:val="none" w:sz="0" w:space="0" w:color="auto"/>
        <w:bottom w:val="none" w:sz="0" w:space="0" w:color="auto"/>
        <w:right w:val="none" w:sz="0" w:space="0" w:color="auto"/>
      </w:divBdr>
      <w:divsChild>
        <w:div w:id="374743542">
          <w:marLeft w:val="0"/>
          <w:marRight w:val="0"/>
          <w:marTop w:val="0"/>
          <w:marBottom w:val="0"/>
          <w:divBdr>
            <w:top w:val="none" w:sz="0" w:space="0" w:color="auto"/>
            <w:left w:val="none" w:sz="0" w:space="0" w:color="auto"/>
            <w:bottom w:val="none" w:sz="0" w:space="0" w:color="auto"/>
            <w:right w:val="none" w:sz="0" w:space="0" w:color="auto"/>
          </w:divBdr>
          <w:divsChild>
            <w:div w:id="1720206021">
              <w:marLeft w:val="0"/>
              <w:marRight w:val="0"/>
              <w:marTop w:val="0"/>
              <w:marBottom w:val="0"/>
              <w:divBdr>
                <w:top w:val="none" w:sz="0" w:space="0" w:color="auto"/>
                <w:left w:val="none" w:sz="0" w:space="0" w:color="auto"/>
                <w:bottom w:val="none" w:sz="0" w:space="0" w:color="auto"/>
                <w:right w:val="none" w:sz="0" w:space="0" w:color="auto"/>
              </w:divBdr>
              <w:divsChild>
                <w:div w:id="1835610208">
                  <w:marLeft w:val="0"/>
                  <w:marRight w:val="0"/>
                  <w:marTop w:val="0"/>
                  <w:marBottom w:val="0"/>
                  <w:divBdr>
                    <w:top w:val="none" w:sz="0" w:space="0" w:color="auto"/>
                    <w:left w:val="none" w:sz="0" w:space="0" w:color="auto"/>
                    <w:bottom w:val="none" w:sz="0" w:space="0" w:color="auto"/>
                    <w:right w:val="none" w:sz="0" w:space="0" w:color="auto"/>
                  </w:divBdr>
                  <w:divsChild>
                    <w:div w:id="2043632352">
                      <w:marLeft w:val="0"/>
                      <w:marRight w:val="0"/>
                      <w:marTop w:val="0"/>
                      <w:marBottom w:val="0"/>
                      <w:divBdr>
                        <w:top w:val="none" w:sz="0" w:space="0" w:color="auto"/>
                        <w:left w:val="none" w:sz="0" w:space="0" w:color="auto"/>
                        <w:bottom w:val="none" w:sz="0" w:space="0" w:color="auto"/>
                        <w:right w:val="none" w:sz="0" w:space="0" w:color="auto"/>
                      </w:divBdr>
                      <w:divsChild>
                        <w:div w:id="249236294">
                          <w:marLeft w:val="0"/>
                          <w:marRight w:val="0"/>
                          <w:marTop w:val="0"/>
                          <w:marBottom w:val="0"/>
                          <w:divBdr>
                            <w:top w:val="none" w:sz="0" w:space="0" w:color="auto"/>
                            <w:left w:val="none" w:sz="0" w:space="0" w:color="auto"/>
                            <w:bottom w:val="none" w:sz="0" w:space="0" w:color="auto"/>
                            <w:right w:val="none" w:sz="0" w:space="0" w:color="auto"/>
                          </w:divBdr>
                          <w:divsChild>
                            <w:div w:id="1310015339">
                              <w:marLeft w:val="0"/>
                              <w:marRight w:val="0"/>
                              <w:marTop w:val="0"/>
                              <w:marBottom w:val="0"/>
                              <w:divBdr>
                                <w:top w:val="none" w:sz="0" w:space="0" w:color="auto"/>
                                <w:left w:val="none" w:sz="0" w:space="0" w:color="auto"/>
                                <w:bottom w:val="none" w:sz="0" w:space="0" w:color="auto"/>
                                <w:right w:val="none" w:sz="0" w:space="0" w:color="auto"/>
                              </w:divBdr>
                              <w:divsChild>
                                <w:div w:id="394813986">
                                  <w:marLeft w:val="0"/>
                                  <w:marRight w:val="0"/>
                                  <w:marTop w:val="0"/>
                                  <w:marBottom w:val="0"/>
                                  <w:divBdr>
                                    <w:top w:val="none" w:sz="0" w:space="0" w:color="auto"/>
                                    <w:left w:val="none" w:sz="0" w:space="0" w:color="auto"/>
                                    <w:bottom w:val="none" w:sz="0" w:space="0" w:color="auto"/>
                                    <w:right w:val="none" w:sz="0" w:space="0" w:color="auto"/>
                                  </w:divBdr>
                                  <w:divsChild>
                                    <w:div w:id="2006979666">
                                      <w:marLeft w:val="0"/>
                                      <w:marRight w:val="0"/>
                                      <w:marTop w:val="0"/>
                                      <w:marBottom w:val="0"/>
                                      <w:divBdr>
                                        <w:top w:val="none" w:sz="0" w:space="0" w:color="auto"/>
                                        <w:left w:val="none" w:sz="0" w:space="0" w:color="auto"/>
                                        <w:bottom w:val="none" w:sz="0" w:space="0" w:color="auto"/>
                                        <w:right w:val="none" w:sz="0" w:space="0" w:color="auto"/>
                                      </w:divBdr>
                                      <w:divsChild>
                                        <w:div w:id="1861820565">
                                          <w:marLeft w:val="0"/>
                                          <w:marRight w:val="0"/>
                                          <w:marTop w:val="0"/>
                                          <w:marBottom w:val="0"/>
                                          <w:divBdr>
                                            <w:top w:val="none" w:sz="0" w:space="0" w:color="auto"/>
                                            <w:left w:val="none" w:sz="0" w:space="0" w:color="auto"/>
                                            <w:bottom w:val="none" w:sz="0" w:space="0" w:color="auto"/>
                                            <w:right w:val="none" w:sz="0" w:space="0" w:color="auto"/>
                                          </w:divBdr>
                                          <w:divsChild>
                                            <w:div w:id="1788617093">
                                              <w:marLeft w:val="0"/>
                                              <w:marRight w:val="0"/>
                                              <w:marTop w:val="0"/>
                                              <w:marBottom w:val="0"/>
                                              <w:divBdr>
                                                <w:top w:val="none" w:sz="0" w:space="0" w:color="auto"/>
                                                <w:left w:val="none" w:sz="0" w:space="0" w:color="auto"/>
                                                <w:bottom w:val="none" w:sz="0" w:space="0" w:color="auto"/>
                                                <w:right w:val="none" w:sz="0" w:space="0" w:color="auto"/>
                                              </w:divBdr>
                                              <w:divsChild>
                                                <w:div w:id="1247377296">
                                                  <w:marLeft w:val="0"/>
                                                  <w:marRight w:val="0"/>
                                                  <w:marTop w:val="0"/>
                                                  <w:marBottom w:val="0"/>
                                                  <w:divBdr>
                                                    <w:top w:val="none" w:sz="0" w:space="0" w:color="auto"/>
                                                    <w:left w:val="none" w:sz="0" w:space="0" w:color="auto"/>
                                                    <w:bottom w:val="none" w:sz="0" w:space="0" w:color="auto"/>
                                                    <w:right w:val="none" w:sz="0" w:space="0" w:color="auto"/>
                                                  </w:divBdr>
                                                  <w:divsChild>
                                                    <w:div w:id="1830514701">
                                                      <w:marLeft w:val="0"/>
                                                      <w:marRight w:val="0"/>
                                                      <w:marTop w:val="0"/>
                                                      <w:marBottom w:val="0"/>
                                                      <w:divBdr>
                                                        <w:top w:val="none" w:sz="0" w:space="0" w:color="auto"/>
                                                        <w:left w:val="none" w:sz="0" w:space="0" w:color="auto"/>
                                                        <w:bottom w:val="none" w:sz="0" w:space="0" w:color="auto"/>
                                                        <w:right w:val="none" w:sz="0" w:space="0" w:color="auto"/>
                                                      </w:divBdr>
                                                      <w:divsChild>
                                                        <w:div w:id="3356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Geiger%20KB%5Bauth%5D" TargetMode="External"/><Relationship Id="rId9" Type="http://schemas.openxmlformats.org/officeDocument/2006/relationships/hyperlink" Target="http://www.ncbi.nlm.nih.gov/pubmed/?term=Carr%20JE%5Bauth%5D" TargetMode="External"/><Relationship Id="rId10" Type="http://schemas.openxmlformats.org/officeDocument/2006/relationships/hyperlink" Target="http://www.ncbi.nlm.nih.gov/pubmed/?term=LeBlanc%20LA%5Bauth%5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3067</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Metro Resa</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Jessica.Schuster</dc:creator>
  <cp:lastModifiedBy>IPH</cp:lastModifiedBy>
  <cp:revision>2</cp:revision>
  <dcterms:created xsi:type="dcterms:W3CDTF">2016-04-03T16:04:00Z</dcterms:created>
  <dcterms:modified xsi:type="dcterms:W3CDTF">2016-04-03T16:04:00Z</dcterms:modified>
  <cp:category>Intervention</cp:category>
</cp:coreProperties>
</file>