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2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4" w:type="dxa"/>
          <w:left w:w="127" w:type="dxa"/>
          <w:bottom w:w="0" w:type="dxa"/>
          <w:right w:w="71" w:type="dxa"/>
        </w:tblCellMar>
        <w:tblLook w:val="04A0" w:firstRow="1" w:lastRow="0" w:firstColumn="1" w:lastColumn="0" w:noHBand="0" w:noVBand="1"/>
      </w:tblPr>
      <w:tblGrid>
        <w:gridCol w:w="3554"/>
        <w:gridCol w:w="7568"/>
      </w:tblGrid>
      <w:tr w:rsidR="005B0F52" w:rsidRPr="00970CDB" w:rsidTr="005B0F52">
        <w:trPr>
          <w:trHeight w:val="968"/>
        </w:trPr>
        <w:tc>
          <w:tcPr>
            <w:tcW w:w="11122" w:type="dxa"/>
            <w:gridSpan w:val="2"/>
            <w:shd w:val="clear" w:color="auto" w:fill="EDEBE0"/>
          </w:tcPr>
          <w:p w:rsidR="005B0F52" w:rsidRPr="00970CDB" w:rsidRDefault="005B0F52" w:rsidP="00FA6123">
            <w:pPr>
              <w:ind w:right="58"/>
              <w:jc w:val="center"/>
              <w:rPr>
                <w:sz w:val="28"/>
              </w:rPr>
            </w:pPr>
            <w:r w:rsidRPr="00970CDB">
              <w:rPr>
                <w:rFonts w:ascii="Comic Sans MS" w:eastAsia="Comic Sans MS" w:hAnsi="Comic Sans MS" w:cs="Comic Sans MS"/>
                <w:b/>
                <w:sz w:val="28"/>
                <w:u w:val="single" w:color="000000"/>
              </w:rPr>
              <w:t>Georgia’s Career Clusters</w:t>
            </w:r>
            <w:r w:rsidRPr="00970CDB">
              <w:rPr>
                <w:rFonts w:ascii="Comic Sans MS" w:eastAsia="Comic Sans MS" w:hAnsi="Comic Sans MS" w:cs="Comic Sans MS"/>
                <w:b/>
                <w:sz w:val="28"/>
              </w:rPr>
              <w:t xml:space="preserve">:   </w:t>
            </w:r>
          </w:p>
          <w:p w:rsidR="005B0F52" w:rsidRPr="00970CDB" w:rsidRDefault="005B0F52" w:rsidP="00FA6123">
            <w:pPr>
              <w:ind w:right="57"/>
              <w:jc w:val="center"/>
              <w:rPr>
                <w:sz w:val="28"/>
              </w:rPr>
            </w:pPr>
            <w:r w:rsidRPr="00970CDB">
              <w:rPr>
                <w:rFonts w:ascii="Comic Sans MS" w:eastAsia="Comic Sans MS" w:hAnsi="Comic Sans MS" w:cs="Comic Sans MS"/>
                <w:b/>
                <w:sz w:val="28"/>
              </w:rPr>
              <w:t xml:space="preserve">Groupings of occupations with common knowledge and skills </w:t>
            </w:r>
          </w:p>
        </w:tc>
      </w:tr>
      <w:tr w:rsidR="005B0F52" w:rsidRPr="00970CDB" w:rsidTr="005B0F52">
        <w:trPr>
          <w:trHeight w:val="104"/>
        </w:trPr>
        <w:tc>
          <w:tcPr>
            <w:tcW w:w="11122" w:type="dxa"/>
            <w:gridSpan w:val="2"/>
          </w:tcPr>
          <w:p w:rsidR="005B0F52" w:rsidRPr="00970CDB" w:rsidRDefault="005B0F52" w:rsidP="00FA6123">
            <w:pPr>
              <w:rPr>
                <w:sz w:val="28"/>
              </w:rPr>
            </w:pPr>
          </w:p>
        </w:tc>
      </w:tr>
      <w:tr w:rsidR="005B0F52" w:rsidRPr="00970CDB" w:rsidTr="005B0F52">
        <w:trPr>
          <w:trHeight w:val="547"/>
        </w:trPr>
        <w:tc>
          <w:tcPr>
            <w:tcW w:w="3390" w:type="dxa"/>
            <w:shd w:val="clear" w:color="auto" w:fill="EDEBE0"/>
          </w:tcPr>
          <w:p w:rsidR="005B0F52" w:rsidRPr="00970CDB" w:rsidRDefault="005B0F52" w:rsidP="00FA6123">
            <w:pPr>
              <w:ind w:left="1560" w:right="1024" w:hanging="478"/>
              <w:rPr>
                <w:sz w:val="28"/>
              </w:rPr>
            </w:pPr>
            <w:r w:rsidRPr="00970CDB">
              <w:rPr>
                <w:rFonts w:ascii="Comic Sans MS" w:eastAsia="Comic Sans MS" w:hAnsi="Comic Sans MS" w:cs="Comic Sans MS"/>
                <w:b/>
                <w:sz w:val="28"/>
              </w:rPr>
              <w:t xml:space="preserve">Cluster  </w:t>
            </w:r>
          </w:p>
        </w:tc>
        <w:tc>
          <w:tcPr>
            <w:tcW w:w="7732" w:type="dxa"/>
            <w:shd w:val="clear" w:color="auto" w:fill="EDEBE0"/>
          </w:tcPr>
          <w:p w:rsidR="005B0F52" w:rsidRPr="00970CDB" w:rsidRDefault="005B0F52" w:rsidP="005B0F52">
            <w:pPr>
              <w:ind w:right="52"/>
              <w:jc w:val="center"/>
              <w:rPr>
                <w:sz w:val="28"/>
              </w:rPr>
            </w:pPr>
            <w:r w:rsidRPr="00970CDB">
              <w:rPr>
                <w:rFonts w:ascii="Comic Sans MS" w:eastAsia="Comic Sans MS" w:hAnsi="Comic Sans MS" w:cs="Comic Sans MS"/>
                <w:b/>
                <w:sz w:val="28"/>
              </w:rPr>
              <w:t xml:space="preserve">Cluster Description </w:t>
            </w:r>
          </w:p>
        </w:tc>
      </w:tr>
      <w:tr w:rsidR="005B0F52" w:rsidRPr="00970CDB" w:rsidTr="005B0F52">
        <w:trPr>
          <w:trHeight w:val="1511"/>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Agriculture, Food &amp; Natural Resources </w:t>
            </w:r>
          </w:p>
        </w:tc>
        <w:tc>
          <w:tcPr>
            <w:tcW w:w="7732" w:type="dxa"/>
            <w:vAlign w:val="center"/>
          </w:tcPr>
          <w:p w:rsidR="005B0F52" w:rsidRPr="00970CDB" w:rsidRDefault="005B0F52" w:rsidP="00FA6123">
            <w:pPr>
              <w:rPr>
                <w:sz w:val="28"/>
              </w:rPr>
            </w:pPr>
            <w:r w:rsidRPr="00970CDB">
              <w:rPr>
                <w:rFonts w:ascii="Comic Sans MS" w:eastAsia="Comic Sans MS" w:hAnsi="Comic Sans MS" w:cs="Comic Sans MS"/>
                <w:sz w:val="28"/>
              </w:rPr>
              <w:t>Careers with common knowledge and skills related to production, processing, marketing, financing, distribu</w:t>
            </w:r>
            <w:bookmarkStart w:id="0" w:name="_GoBack"/>
            <w:bookmarkEnd w:id="0"/>
            <w:r w:rsidRPr="00970CDB">
              <w:rPr>
                <w:rFonts w:ascii="Comic Sans MS" w:eastAsia="Comic Sans MS" w:hAnsi="Comic Sans MS" w:cs="Comic Sans MS"/>
                <w:sz w:val="28"/>
              </w:rPr>
              <w:t xml:space="preserve">tion, and development of agricultural commodities and resources. These commodities include food, fiber, wood products, natural resources, horticulture, and other plant and animal products/resources. </w:t>
            </w:r>
          </w:p>
        </w:tc>
      </w:tr>
      <w:tr w:rsidR="005B0F52" w:rsidRPr="00970CDB" w:rsidTr="005B0F52">
        <w:trPr>
          <w:trHeight w:val="700"/>
        </w:trPr>
        <w:tc>
          <w:tcPr>
            <w:tcW w:w="3390" w:type="dxa"/>
            <w:vAlign w:val="center"/>
          </w:tcPr>
          <w:p w:rsidR="005B0F52" w:rsidRPr="00970CDB" w:rsidRDefault="005B0F52" w:rsidP="00FA6123">
            <w:pPr>
              <w:ind w:left="62"/>
              <w:rPr>
                <w:sz w:val="28"/>
              </w:rPr>
            </w:pPr>
            <w:r w:rsidRPr="00970CDB">
              <w:rPr>
                <w:rFonts w:ascii="Comic Sans MS" w:eastAsia="Comic Sans MS" w:hAnsi="Comic Sans MS" w:cs="Comic Sans MS"/>
                <w:b/>
                <w:color w:val="555555"/>
                <w:sz w:val="28"/>
              </w:rPr>
              <w:t xml:space="preserve">Architecture &amp; Construction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the designing, planning, managing, and building of structures.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66"/>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Arts, A/V Technology &amp; Communications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designing, producing, exhibiting, performing, writing, and publishing multimedia content including visual and performing arts and design, journalism, and entertainment services.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22"/>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Business, Management &amp; Administration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the preparation of students with computer skills for future college and career plans. Cluster skills mastered include planning, organizing, directing, and evaluating as well as owning and operating a successful business. </w:t>
            </w:r>
          </w:p>
        </w:tc>
      </w:tr>
      <w:tr w:rsidR="005B0F52" w:rsidRPr="00970CDB" w:rsidTr="005B0F52">
        <w:trPr>
          <w:trHeight w:val="132"/>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883"/>
        </w:trPr>
        <w:tc>
          <w:tcPr>
            <w:tcW w:w="3390" w:type="dxa"/>
            <w:vAlign w:val="center"/>
          </w:tcPr>
          <w:p w:rsidR="005B0F52" w:rsidRPr="00970CDB" w:rsidRDefault="005B0F52" w:rsidP="00FA6123">
            <w:pPr>
              <w:ind w:right="63"/>
              <w:jc w:val="center"/>
              <w:rPr>
                <w:sz w:val="28"/>
              </w:rPr>
            </w:pPr>
            <w:r w:rsidRPr="00970CDB">
              <w:rPr>
                <w:rFonts w:ascii="Comic Sans MS" w:eastAsia="Comic Sans MS" w:hAnsi="Comic Sans MS" w:cs="Comic Sans MS"/>
                <w:b/>
                <w:color w:val="555555"/>
                <w:sz w:val="28"/>
              </w:rPr>
              <w:t xml:space="preserve">Education &amp; Training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Careers with common knowledge and skills related to planning, managing, and providing education and training services as well as related learning support services.</w:t>
            </w:r>
            <w:r w:rsidRPr="00970CDB">
              <w:rPr>
                <w:rFonts w:ascii="Verdana" w:eastAsia="Verdana" w:hAnsi="Verdana" w:cs="Verdana"/>
                <w:color w:val="676767"/>
                <w:sz w:val="28"/>
              </w:rPr>
              <w:t xml:space="preserve"> </w:t>
            </w:r>
          </w:p>
        </w:tc>
      </w:tr>
      <w:tr w:rsidR="005B0F52" w:rsidRPr="00970CDB" w:rsidTr="005B0F52">
        <w:trPr>
          <w:trHeight w:val="132"/>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926"/>
        </w:trPr>
        <w:tc>
          <w:tcPr>
            <w:tcW w:w="3390" w:type="dxa"/>
            <w:vAlign w:val="center"/>
          </w:tcPr>
          <w:p w:rsidR="005B0F52" w:rsidRPr="00970CDB" w:rsidRDefault="005B0F52" w:rsidP="00FA6123">
            <w:pPr>
              <w:ind w:right="64"/>
              <w:jc w:val="center"/>
              <w:rPr>
                <w:sz w:val="28"/>
              </w:rPr>
            </w:pPr>
            <w:r w:rsidRPr="00970CDB">
              <w:rPr>
                <w:rFonts w:ascii="Comic Sans MS" w:eastAsia="Comic Sans MS" w:hAnsi="Comic Sans MS" w:cs="Comic Sans MS"/>
                <w:b/>
                <w:color w:val="555555"/>
                <w:sz w:val="28"/>
              </w:rPr>
              <w:lastRenderedPageBreak/>
              <w:t xml:space="preserve">Energy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preparing individuals for careers in the design, planning, maintaining, generating, transmission and distribution of traditional and alternative energy.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421"/>
        </w:trPr>
        <w:tc>
          <w:tcPr>
            <w:tcW w:w="3390" w:type="dxa"/>
            <w:vAlign w:val="center"/>
          </w:tcPr>
          <w:p w:rsidR="005B0F52" w:rsidRPr="00970CDB" w:rsidRDefault="005B0F52" w:rsidP="00FA6123">
            <w:pPr>
              <w:ind w:right="62"/>
              <w:jc w:val="center"/>
              <w:rPr>
                <w:sz w:val="28"/>
              </w:rPr>
            </w:pPr>
            <w:r w:rsidRPr="00970CDB">
              <w:rPr>
                <w:rFonts w:ascii="Comic Sans MS" w:eastAsia="Comic Sans MS" w:hAnsi="Comic Sans MS" w:cs="Comic Sans MS"/>
                <w:b/>
                <w:color w:val="555555"/>
                <w:sz w:val="28"/>
              </w:rPr>
              <w:t xml:space="preserve">Finance </w:t>
            </w:r>
          </w:p>
        </w:tc>
        <w:tc>
          <w:tcPr>
            <w:tcW w:w="7732" w:type="dxa"/>
          </w:tcPr>
          <w:p w:rsidR="005B0F52" w:rsidRPr="00970CDB" w:rsidRDefault="005B0F52" w:rsidP="00FA6123">
            <w:pPr>
              <w:ind w:right="1"/>
              <w:rPr>
                <w:sz w:val="28"/>
              </w:rPr>
            </w:pPr>
            <w:r w:rsidRPr="00970CDB">
              <w:rPr>
                <w:rFonts w:ascii="Comic Sans MS" w:eastAsia="Comic Sans MS" w:hAnsi="Comic Sans MS" w:cs="Comic Sans MS"/>
                <w:sz w:val="28"/>
              </w:rPr>
              <w:t xml:space="preserve">Careers with common knowledge and skills related money management, including planning, investing, and spending. Students gain career development skills for the finance world with opportunities that expand beyond basic business skills into financial literacy, banking, investing, insurance, and risk management.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48"/>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Government &amp; Public Administration </w:t>
            </w:r>
          </w:p>
        </w:tc>
        <w:tc>
          <w:tcPr>
            <w:tcW w:w="7732" w:type="dxa"/>
          </w:tcPr>
          <w:p w:rsidR="005B0F52" w:rsidRPr="00970CDB" w:rsidRDefault="005B0F52" w:rsidP="00FA6123">
            <w:pPr>
              <w:spacing w:line="244" w:lineRule="auto"/>
              <w:rPr>
                <w:sz w:val="28"/>
              </w:rPr>
            </w:pPr>
            <w:r w:rsidRPr="00970CDB">
              <w:rPr>
                <w:rFonts w:ascii="Comic Sans MS" w:eastAsia="Comic Sans MS" w:hAnsi="Comic Sans MS" w:cs="Comic Sans MS"/>
                <w:sz w:val="28"/>
              </w:rPr>
              <w:t xml:space="preserve">Careers with common knowledge and skills related to the planning and performing of government management and administrative functions at </w:t>
            </w:r>
          </w:p>
          <w:p w:rsidR="005B0F52" w:rsidRPr="00970CDB" w:rsidRDefault="005B0F52" w:rsidP="00FA6123">
            <w:pPr>
              <w:rPr>
                <w:sz w:val="28"/>
              </w:rPr>
            </w:pPr>
            <w:proofErr w:type="gramStart"/>
            <w:r w:rsidRPr="00970CDB">
              <w:rPr>
                <w:rFonts w:ascii="Comic Sans MS" w:eastAsia="Comic Sans MS" w:hAnsi="Comic Sans MS" w:cs="Comic Sans MS"/>
                <w:sz w:val="28"/>
              </w:rPr>
              <w:t>local</w:t>
            </w:r>
            <w:proofErr w:type="gramEnd"/>
            <w:r w:rsidRPr="00970CDB">
              <w:rPr>
                <w:rFonts w:ascii="Comic Sans MS" w:eastAsia="Comic Sans MS" w:hAnsi="Comic Sans MS" w:cs="Comic Sans MS"/>
                <w:sz w:val="28"/>
              </w:rPr>
              <w:t xml:space="preserve">, state, and federal levels.  Careers are available in national security, foreign service, revenue, and regulations. </w:t>
            </w:r>
          </w:p>
        </w:tc>
      </w:tr>
      <w:tr w:rsidR="005B0F52" w:rsidRPr="00970CDB" w:rsidTr="005B0F52">
        <w:trPr>
          <w:trHeight w:val="1191"/>
        </w:trPr>
        <w:tc>
          <w:tcPr>
            <w:tcW w:w="3390" w:type="dxa"/>
            <w:vAlign w:val="center"/>
          </w:tcPr>
          <w:p w:rsidR="005B0F52" w:rsidRPr="00970CDB" w:rsidRDefault="005B0F52" w:rsidP="00FA6123">
            <w:pPr>
              <w:ind w:right="29"/>
              <w:jc w:val="center"/>
              <w:rPr>
                <w:sz w:val="28"/>
              </w:rPr>
            </w:pPr>
            <w:r w:rsidRPr="00970CDB">
              <w:rPr>
                <w:rFonts w:ascii="Comic Sans MS" w:eastAsia="Comic Sans MS" w:hAnsi="Comic Sans MS" w:cs="Comic Sans MS"/>
                <w:b/>
                <w:color w:val="555555"/>
                <w:sz w:val="28"/>
              </w:rPr>
              <w:t xml:space="preserve">Health Science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planning, managing, and providing services in therapeutics, diagnostics, health informatics, support areas, and biotechnology research and development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912"/>
        </w:trPr>
        <w:tc>
          <w:tcPr>
            <w:tcW w:w="3390" w:type="dxa"/>
            <w:vAlign w:val="center"/>
          </w:tcPr>
          <w:p w:rsidR="005B0F52" w:rsidRPr="00970CDB" w:rsidRDefault="005B0F52" w:rsidP="00FA6123">
            <w:pPr>
              <w:ind w:right="30"/>
              <w:jc w:val="center"/>
              <w:rPr>
                <w:sz w:val="28"/>
              </w:rPr>
            </w:pPr>
            <w:r w:rsidRPr="00970CDB">
              <w:rPr>
                <w:rFonts w:ascii="Comic Sans MS" w:eastAsia="Comic Sans MS" w:hAnsi="Comic Sans MS" w:cs="Comic Sans MS"/>
                <w:b/>
                <w:color w:val="555555"/>
                <w:sz w:val="28"/>
              </w:rPr>
              <w:t xml:space="preserve">Hospitality &amp; Tourism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the management, marketing, and operations of restaurants, and other food services, lodging, attractions, recreation events, and travel related services. </w:t>
            </w:r>
          </w:p>
        </w:tc>
      </w:tr>
      <w:tr w:rsidR="005B0F52" w:rsidRPr="00970CDB" w:rsidTr="005B0F52">
        <w:trPr>
          <w:trHeight w:val="104"/>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22"/>
        </w:trPr>
        <w:tc>
          <w:tcPr>
            <w:tcW w:w="3390" w:type="dxa"/>
            <w:vAlign w:val="center"/>
          </w:tcPr>
          <w:p w:rsidR="005B0F52" w:rsidRPr="00970CDB" w:rsidRDefault="005B0F52" w:rsidP="00FA6123">
            <w:pPr>
              <w:ind w:left="1562" w:right="657" w:hanging="840"/>
              <w:rPr>
                <w:sz w:val="28"/>
              </w:rPr>
            </w:pPr>
            <w:r w:rsidRPr="00970CDB">
              <w:rPr>
                <w:rFonts w:ascii="Comic Sans MS" w:eastAsia="Comic Sans MS" w:hAnsi="Comic Sans MS" w:cs="Comic Sans MS"/>
                <w:b/>
                <w:color w:val="555555"/>
                <w:sz w:val="28"/>
              </w:rPr>
              <w:t xml:space="preserve">Human Services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family and human needs such as nutrition and food science, counseling and mental health services, family and community services, personal care, and consumer services. </w:t>
            </w:r>
          </w:p>
        </w:tc>
      </w:tr>
      <w:tr w:rsidR="005B0F52" w:rsidRPr="00970CDB" w:rsidTr="005B0F52">
        <w:trPr>
          <w:trHeight w:val="132"/>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38"/>
        </w:trPr>
        <w:tc>
          <w:tcPr>
            <w:tcW w:w="3390" w:type="dxa"/>
            <w:vAlign w:val="center"/>
          </w:tcPr>
          <w:p w:rsidR="005B0F52" w:rsidRPr="00970CDB" w:rsidRDefault="005B0F52" w:rsidP="00FA6123">
            <w:pPr>
              <w:ind w:right="30"/>
              <w:jc w:val="center"/>
              <w:rPr>
                <w:sz w:val="28"/>
              </w:rPr>
            </w:pPr>
            <w:r w:rsidRPr="00970CDB">
              <w:rPr>
                <w:rFonts w:ascii="Comic Sans MS" w:eastAsia="Comic Sans MS" w:hAnsi="Comic Sans MS" w:cs="Comic Sans MS"/>
                <w:b/>
                <w:color w:val="555555"/>
                <w:sz w:val="28"/>
              </w:rPr>
              <w:t xml:space="preserve">Information Technology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the preparation for careers that create, use, modify, and engage technology skills. Graphics, multimedia animation, web design, game and application development, networking, and computer repair are all possibilities. </w:t>
            </w:r>
          </w:p>
        </w:tc>
      </w:tr>
      <w:tr w:rsidR="005B0F52" w:rsidRPr="00970CDB" w:rsidTr="005B0F52">
        <w:trPr>
          <w:trHeight w:val="132"/>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883"/>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Law, Public Safety, Corrections &amp; Security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employment in emergency and fire services, legal services, protective services, and homeland security. </w:t>
            </w:r>
          </w:p>
        </w:tc>
      </w:tr>
      <w:tr w:rsidR="005B0F52" w:rsidRPr="00970CDB" w:rsidTr="005B0F52">
        <w:trPr>
          <w:trHeight w:val="132"/>
        </w:trPr>
        <w:tc>
          <w:tcPr>
            <w:tcW w:w="3390" w:type="dxa"/>
          </w:tcPr>
          <w:p w:rsidR="005B0F52" w:rsidRPr="00970CDB" w:rsidRDefault="005B0F52" w:rsidP="00FA6123">
            <w:pPr>
              <w:rPr>
                <w:sz w:val="28"/>
              </w:rPr>
            </w:pPr>
          </w:p>
        </w:tc>
        <w:tc>
          <w:tcPr>
            <w:tcW w:w="7732" w:type="dxa"/>
          </w:tcPr>
          <w:p w:rsidR="005B0F52" w:rsidRPr="00970CDB" w:rsidRDefault="005B0F52" w:rsidP="00FA6123">
            <w:pPr>
              <w:rPr>
                <w:sz w:val="28"/>
              </w:rPr>
            </w:pPr>
          </w:p>
        </w:tc>
      </w:tr>
      <w:tr w:rsidR="005B0F52" w:rsidRPr="00970CDB" w:rsidTr="005B0F52">
        <w:trPr>
          <w:trHeight w:val="1181"/>
        </w:trPr>
        <w:tc>
          <w:tcPr>
            <w:tcW w:w="3390" w:type="dxa"/>
            <w:vAlign w:val="center"/>
          </w:tcPr>
          <w:p w:rsidR="005B0F52" w:rsidRPr="00970CDB" w:rsidRDefault="005B0F52" w:rsidP="00FA6123">
            <w:pPr>
              <w:ind w:right="28"/>
              <w:jc w:val="center"/>
              <w:rPr>
                <w:sz w:val="28"/>
              </w:rPr>
            </w:pPr>
            <w:r w:rsidRPr="00970CDB">
              <w:rPr>
                <w:rFonts w:ascii="Comic Sans MS" w:eastAsia="Comic Sans MS" w:hAnsi="Comic Sans MS" w:cs="Comic Sans MS"/>
                <w:b/>
                <w:color w:val="555555"/>
                <w:sz w:val="28"/>
              </w:rPr>
              <w:t xml:space="preserve">Manufacturing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the processing of materials into intermediate or final products and related professional and technical support activities, such as production control, maintenance, and process engineering. </w:t>
            </w:r>
          </w:p>
        </w:tc>
      </w:tr>
      <w:tr w:rsidR="005B0F52" w:rsidRPr="00970CDB" w:rsidTr="005B0F52">
        <w:trPr>
          <w:trHeight w:val="1420"/>
        </w:trPr>
        <w:tc>
          <w:tcPr>
            <w:tcW w:w="3390" w:type="dxa"/>
            <w:vAlign w:val="center"/>
          </w:tcPr>
          <w:p w:rsidR="005B0F52" w:rsidRPr="00970CDB" w:rsidRDefault="005B0F52" w:rsidP="00FA6123">
            <w:pPr>
              <w:ind w:right="29"/>
              <w:jc w:val="center"/>
              <w:rPr>
                <w:sz w:val="28"/>
              </w:rPr>
            </w:pPr>
            <w:r w:rsidRPr="00970CDB">
              <w:rPr>
                <w:rFonts w:ascii="Comic Sans MS" w:eastAsia="Comic Sans MS" w:hAnsi="Comic Sans MS" w:cs="Comic Sans MS"/>
                <w:b/>
                <w:color w:val="555555"/>
                <w:sz w:val="28"/>
              </w:rPr>
              <w:t xml:space="preserve">Marketing </w:t>
            </w:r>
          </w:p>
        </w:tc>
        <w:tc>
          <w:tcPr>
            <w:tcW w:w="7732" w:type="dxa"/>
          </w:tcPr>
          <w:p w:rsidR="005B0F52" w:rsidRPr="00970CDB" w:rsidRDefault="005B0F52" w:rsidP="00FA6123">
            <w:pPr>
              <w:ind w:right="91"/>
              <w:rPr>
                <w:sz w:val="28"/>
              </w:rPr>
            </w:pPr>
            <w:r w:rsidRPr="00970CDB">
              <w:rPr>
                <w:rFonts w:ascii="Comic Sans MS" w:eastAsia="Comic Sans MS" w:hAnsi="Comic Sans MS" w:cs="Comic Sans MS"/>
                <w:sz w:val="28"/>
              </w:rPr>
              <w:t xml:space="preserve">Careers with common knowledge and skills related to the process of anticipating, managing, and satisfying consumers' demand for products, services, and ideas. The Marketing career cluster generates the strategy that underlies advertising and promotional techniques, business communication, and business development. </w:t>
            </w:r>
          </w:p>
        </w:tc>
      </w:tr>
      <w:tr w:rsidR="005B0F52" w:rsidRPr="00970CDB" w:rsidTr="005B0F52">
        <w:trPr>
          <w:trHeight w:val="912"/>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Science, Technology, Engineering &amp; Mathematics </w:t>
            </w:r>
          </w:p>
        </w:tc>
        <w:tc>
          <w:tcPr>
            <w:tcW w:w="7732" w:type="dxa"/>
          </w:tcPr>
          <w:p w:rsidR="005B0F52" w:rsidRPr="00970CDB" w:rsidRDefault="005B0F52" w:rsidP="00FA6123">
            <w:pPr>
              <w:rPr>
                <w:sz w:val="28"/>
              </w:rPr>
            </w:pPr>
            <w:r w:rsidRPr="00970CDB">
              <w:rPr>
                <w:rFonts w:ascii="Comic Sans MS" w:eastAsia="Comic Sans MS" w:hAnsi="Comic Sans MS" w:cs="Comic Sans MS"/>
                <w:sz w:val="28"/>
              </w:rPr>
              <w:t xml:space="preserve">Careers with common knowledge and skills related to planning, managing, and providing scientific research and professional and technical services. </w:t>
            </w:r>
          </w:p>
        </w:tc>
      </w:tr>
      <w:tr w:rsidR="005B0F52" w:rsidRPr="00970CDB" w:rsidTr="005B0F52">
        <w:trPr>
          <w:trHeight w:val="1166"/>
        </w:trPr>
        <w:tc>
          <w:tcPr>
            <w:tcW w:w="3390" w:type="dxa"/>
            <w:vAlign w:val="center"/>
          </w:tcPr>
          <w:p w:rsidR="005B0F52" w:rsidRPr="00970CDB" w:rsidRDefault="005B0F52" w:rsidP="00FA6123">
            <w:pPr>
              <w:jc w:val="center"/>
              <w:rPr>
                <w:sz w:val="28"/>
              </w:rPr>
            </w:pPr>
            <w:r w:rsidRPr="00970CDB">
              <w:rPr>
                <w:rFonts w:ascii="Comic Sans MS" w:eastAsia="Comic Sans MS" w:hAnsi="Comic Sans MS" w:cs="Comic Sans MS"/>
                <w:b/>
                <w:color w:val="555555"/>
                <w:sz w:val="28"/>
              </w:rPr>
              <w:t xml:space="preserve">Transportation, Distribution &amp; Logistics </w:t>
            </w:r>
          </w:p>
        </w:tc>
        <w:tc>
          <w:tcPr>
            <w:tcW w:w="7732" w:type="dxa"/>
          </w:tcPr>
          <w:p w:rsidR="005B0F52" w:rsidRPr="00970CDB" w:rsidRDefault="005B0F52" w:rsidP="00FA6123">
            <w:pPr>
              <w:ind w:right="17"/>
              <w:rPr>
                <w:sz w:val="28"/>
              </w:rPr>
            </w:pPr>
            <w:r w:rsidRPr="00970CDB">
              <w:rPr>
                <w:rFonts w:ascii="Comic Sans MS" w:eastAsia="Comic Sans MS" w:hAnsi="Comic Sans MS" w:cs="Comic Sans MS"/>
                <w:sz w:val="28"/>
              </w:rPr>
              <w:t xml:space="preserve">Careers with common knowledge and skills related to planning, managing, and moving people, materials, and goods by road, pipeline, air, rail, and water, and also includes other related professional and technical support services. </w:t>
            </w:r>
          </w:p>
        </w:tc>
      </w:tr>
    </w:tbl>
    <w:p w:rsidR="00E516F1" w:rsidRDefault="00E516F1"/>
    <w:sectPr w:rsidR="00E516F1" w:rsidSect="005B0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2"/>
    <w:rsid w:val="00123150"/>
    <w:rsid w:val="005B0F52"/>
    <w:rsid w:val="00970CDB"/>
    <w:rsid w:val="00E5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39CCC-1EF1-4496-B770-75710923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0F5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671</Words>
  <Characters>3830</Characters>
  <Application>Microsoft Office Word</Application>
  <DocSecurity>0</DocSecurity>
  <Lines>31</Lines>
  <Paragraphs>8</Paragraphs>
  <ScaleCrop>false</ScaleCrop>
  <Company>Savannah-Chatham County Public School System</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2</cp:revision>
  <dcterms:created xsi:type="dcterms:W3CDTF">2017-03-08T18:45:00Z</dcterms:created>
  <dcterms:modified xsi:type="dcterms:W3CDTF">2017-03-08T18:45:00Z</dcterms:modified>
</cp:coreProperties>
</file>